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Underkonsult Pixel &amp; Form (UX)</w:t>
      </w:r>
    </w:p>
    <w:p>
      <w:r>
        <w:rPr>
          <w:b w:val="0"/>
          <w:i w:val="0"/>
        </w:rPr>
        <w:t>Avtalsnummer: CTR-SUP-037</w:t>
      </w:r>
    </w:p>
    <w:p>
      <w:pPr>
        <w:pStyle w:val="Heading1"/>
      </w:pPr>
      <w:r>
        <w:t>Avtal</w:t>
      </w:r>
    </w:p>
    <w:p>
      <w:r>
        <w:rPr>
          <w:b w:val="0"/>
          <w:i w:val="0"/>
        </w:rPr>
        <w:t>Mellan Nordviken Digital AB, org.nr 559245-1673 (nedan "Kunden"), och Pixel &amp; Form AB, org.nr 559092-4470 (nedan "Leverantören"), har följande avtal träffats.</w:t>
      </w:r>
    </w:p>
    <w:p>
      <w:pPr>
        <w:pStyle w:val="Heading2"/>
      </w:pPr>
      <w:r>
        <w:t>1. Avtalets föremål</w:t>
      </w:r>
    </w:p>
    <w:p>
      <w:r>
        <w:rPr>
          <w:b w:val="0"/>
          <w:i w:val="0"/>
        </w:rPr>
        <w:t>Konsulten utför konsulttjänster inom avtalat område enligt kundens skriftliga avrop. Arbetet utförs på plats hos kunden eller på distans enligt parternas överenskommelse.</w:t>
      </w:r>
    </w:p>
    <w:p>
      <w:pPr>
        <w:pStyle w:val="Heading2"/>
      </w:pPr>
      <w:r>
        <w:t>2. Pris</w:t>
      </w:r>
    </w:p>
    <w:p>
      <w:r>
        <w:rPr>
          <w:b w:val="0"/>
          <w:i w:val="0"/>
        </w:rPr>
        <w:t>Timpris: 890,00 kr per timme (exkl. moms).</w:t>
      </w:r>
    </w:p>
    <w:p>
      <w:pPr>
        <w:pStyle w:val="Heading2"/>
      </w:pPr>
      <w:r>
        <w:t>3. Avtalstid och uppsägning</w:t>
      </w:r>
    </w:p>
    <w:p>
      <w:r>
        <w:rPr>
          <w:b w:val="0"/>
          <w:i w:val="0"/>
        </w:rPr>
        <w:t>Avtalet gäller från och med 01.10.2024 till och med 31.03.2026.</w:t>
      </w:r>
    </w:p>
    <w:p>
      <w:r>
        <w:rPr>
          <w:b w:val="0"/>
          <w:i w:val="0"/>
        </w:rPr>
        <w:t>Avtalet upphör vid avtalstidens utgång utan föregående uppsägning.</w:t>
      </w:r>
    </w:p>
    <w:p>
      <w:pPr>
        <w:pStyle w:val="Heading2"/>
      </w:pPr>
      <w:r>
        <w:t>4. Betalning</w:t>
      </w:r>
    </w:p>
    <w:p>
      <w:r>
        <w:rPr>
          <w:b w:val="0"/>
          <w:i w:val="0"/>
        </w:rPr>
        <w:t>Betalning sker mot faktura med 30 dagars kredit. Vid försenad betalning utgår dröjsmålsränta enligt räntelagen.</w:t>
      </w:r>
    </w:p>
    <w:p>
      <w:pPr>
        <w:pStyle w:val="Heading2"/>
      </w:pPr>
      <w:r>
        <w:t>5. Allmänna villkor</w:t>
      </w:r>
    </w:p>
    <w:p>
      <w:r>
        <w:rPr>
          <w:b w:val="0"/>
          <w:i w:val="0"/>
        </w:rPr>
        <w:t>Leverantören ska utföra tjänsterna fackmässigt. Kunden ansvarar för att lämna de uppgifter och den tillgång som krävs för att leverantören ska kunna fullgöra sina åtaganden. Vardera parten behandlar information om den andra parten konfidentiellt. Part får inte överlåta avtalet utan den andra partens skriftliga medgivande. Ändringar av avtalet ska vara skriftliga.</w:t>
      </w:r>
    </w:p>
    <w:p>
      <w:pPr>
        <w:pStyle w:val="Heading2"/>
      </w:pPr>
      <w:r>
        <w:t>6. Tvist</w:t>
      </w:r>
    </w:p>
    <w:p>
      <w:r>
        <w:rPr>
          <w:b w:val="0"/>
          <w:i w:val="0"/>
        </w:rPr>
        <w:t>Svensk rätt tillämpas på avtalet. Tvister avgörs av Stockholms tingsrätt som första instans.</w:t>
      </w:r>
    </w:p>
    <w:p>
      <w:pPr>
        <w:pStyle w:val="Heading2"/>
      </w:pPr>
      <w:r>
        <w:t>7. Support och felavhjälpning</w:t>
      </w:r>
    </w:p>
    <w:p>
      <w:r>
        <w:rPr>
          <w:b w:val="0"/>
          <w:i w:val="0"/>
        </w:rPr>
        <w:t>Leverantören ska avhjälpa fel och brister i tjänsten inom skälig tid. Felanmälan sker till leverantörens supportfunktion under ordinarie kontorstid.</w:t>
      </w:r>
    </w:p>
    <w:p>
      <w:pPr>
        <w:pStyle w:val="Heading2"/>
      </w:pPr>
      <w:r>
        <w:t>8. Allmänna bestämmelser</w:t>
      </w:r>
    </w:p>
    <w:p>
      <w:pPr>
        <w:pStyle w:val="Heading2"/>
      </w:pPr>
      <w:r>
        <w:t>8.1 Tredje parts rättigheter</w:t>
      </w:r>
    </w:p>
    <w:p>
      <w:r>
        <w:rPr>
          <w:b w:val="0"/>
          <w:i w:val="0"/>
        </w:rPr>
        <w:t>Avtalet ger inte tredje man några rättigheter som kan göras gällande mot någon av parterna.</w:t>
      </w:r>
    </w:p>
    <w:p>
      <w:pPr>
        <w:pStyle w:val="Heading2"/>
      </w:pPr>
      <w:r>
        <w:t>8.2 Personal och kompetens</w:t>
      </w:r>
    </w:p>
    <w:p>
      <w:r>
        <w:rPr>
          <w:b w:val="0"/>
          <w:i w:val="0"/>
        </w:rPr>
        <w:t>Leverantören svarar för att personal som utför uppdraget har erforderlig kompetens och erfarenhet. Leverantören ska i möjligaste mån undvika onödiga personbyten under uppdragets genomförande.</w:t>
      </w:r>
    </w:p>
    <w:p>
      <w:pPr>
        <w:pStyle w:val="Heading2"/>
      </w:pPr>
      <w:r>
        <w:t>8.3 Möten och uppföljning</w:t>
      </w:r>
    </w:p>
    <w:p>
      <w:r>
        <w:rPr>
          <w:b w:val="0"/>
          <w:i w:val="0"/>
        </w:rPr>
        <w:t>Parterna ska vid behov hålla avstämningsmöten för att följa upp avtalets fullgörande och hantera avvikelser och förbättringsförslag.</w:t>
      </w:r>
    </w:p>
    <w:p>
      <w:pPr>
        <w:pStyle w:val="Heading2"/>
      </w:pPr>
      <w:r>
        <w:t>Underskrifter</w:t>
      </w:r>
    </w:p>
    <w:p>
      <w:r>
        <w:rPr>
          <w:b w:val="0"/>
          <w:i w:val="0"/>
        </w:rPr>
      </w:r>
    </w:p>
    <w:tbl>
      <w:tblPr>
        <w:tblStyle w:val="TableGrid"/>
        <w:tblW w:type="auto" w:w="0"/>
        <w:tblLook w:firstColumn="1" w:firstRow="1" w:lastColumn="0" w:lastRow="0" w:noHBand="0" w:noVBand="1" w:val="04A0"/>
      </w:tblPr>
      <w:tblGrid>
        <w:gridCol w:w="4677"/>
        <w:gridCol w:w="4677"/>
      </w:tblGrid>
      <w:tr>
        <w:tc>
          <w:tcPr>
            <w:tcW w:type="dxa" w:w="4677"/>
          </w:tcPr>
          <w:p>
            <w:r/>
            <w:r>
              <w:rPr>
                <w:b/>
              </w:rPr>
              <w:t>För Pixel &amp; Form AB</w:t>
            </w:r>
          </w:p>
        </w:tc>
        <w:tc>
          <w:tcPr>
            <w:tcW w:type="dxa" w:w="4677"/>
          </w:tcPr>
          <w:p>
            <w:r/>
            <w:r>
              <w:rPr>
                <w:b/>
              </w:rPr>
              <w:t>För Nordviken Digital AB</w:t>
            </w:r>
          </w:p>
        </w:tc>
      </w:tr>
      <w:tr>
        <w:tc>
          <w:tcPr>
            <w:tcW w:type="dxa" w:w="4677"/>
          </w:tcPr>
          <w:p>
            <w:r>
              <w:t>Ort och datum:</w:t>
              <w:br/>
              <w:br/>
              <w:br/>
              <w:br/>
              <w:t>Namnförtydligande: Sara Blom</w:t>
              <w:br/>
              <w:br/>
              <w:br/>
              <w:br/>
              <w:t>Befattning: UX-konsult</w:t>
            </w:r>
          </w:p>
        </w:tc>
        <w:tc>
          <w:tcPr>
            <w:tcW w:type="dxa" w:w="4677"/>
          </w:tcPr>
          <w:p>
            <w:r>
              <w:t>Ort och datum:</w:t>
              <w:br/>
              <w:br/>
              <w:br/>
              <w:br/>
              <w:t>Namnförtydligande: Petra Wahlgren</w:t>
              <w:br/>
              <w:br/>
              <w:br/>
              <w:br/>
              <w:t>Befattning: HR- och kontorschef</w:t>
            </w:r>
          </w:p>
        </w:tc>
      </w:tr>
    </w:tbl>
    <w:sectPr w:rsidR="00FC693F" w:rsidRPr="0006063C" w:rsidSect="00034616">
      <w:pgSz w:w="11906" w:h="16838"/>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Calibri" w:hAnsi="Calibr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