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INV-2026-0085</w:t>
      </w:r>
    </w:p>
    <w:p>
      <w:r>
        <w:rPr>
          <w:b/>
        </w:rPr>
        <w:t xml:space="preserve">Fakturadatum: </w:t>
      </w:r>
      <w:r>
        <w:rPr>
          <w:b w:val="0"/>
        </w:rPr>
        <w:t>2026-02-28</w:t>
      </w:r>
    </w:p>
    <w:p>
      <w:r>
        <w:rPr>
          <w:b/>
        </w:rPr>
        <w:t xml:space="preserve">Förfallodatum: </w:t>
      </w:r>
      <w:r>
        <w:rPr>
          <w:b w:val="0"/>
        </w:rPr>
        <w:t>2026-03-30</w:t>
      </w:r>
    </w:p>
    <w:p>
      <w:r>
        <w:rPr>
          <w:b/>
        </w:rPr>
        <w:t xml:space="preserve">Er referens: </w:t>
      </w:r>
      <w:r>
        <w:rPr>
          <w:b w:val="0"/>
        </w:rPr>
        <w:t>2026-02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Kustbandets Färjor AB</w:t>
      </w:r>
    </w:p>
    <w:p>
      <w:r>
        <w:rPr>
          <w:b w:val="0"/>
          <w:i w:val="0"/>
        </w:rPr>
        <w:t xml:space="preserve">Projekt: P-2408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2026-02 – Eftersläpningsfaktura index nov 2025–jan 2026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53 730,00</w:t>
            </w:r>
          </w:p>
        </w:tc>
        <w:tc>
          <w:tcPr>
            <w:tcW w:type="dxa" w:w="1728"/>
          </w:tcPr>
          <w:p>
            <w:r>
              <w:t>13 432,50</w:t>
            </w:r>
          </w:p>
        </w:tc>
        <w:tc>
          <w:tcPr>
            <w:tcW w:type="dxa" w:w="1728"/>
          </w:tcPr>
          <w:p>
            <w:r>
              <w:t>67 162,50</w:t>
            </w:r>
          </w:p>
        </w:tc>
      </w:tr>
    </w:tbl>
    <w:p>
      <w:pPr>
        <w:jc w:val="right"/>
      </w:pPr>
      <w:r>
        <w:rPr>
          <w:b/>
        </w:rPr>
        <w:t>ATT BETALA: 67 162,50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