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INV-2026-0303</w:t>
      </w:r>
    </w:p>
    <w:p>
      <w:r>
        <w:rPr>
          <w:b/>
        </w:rPr>
        <w:t xml:space="preserve">Fakturadatum: </w:t>
      </w:r>
      <w:r>
        <w:rPr>
          <w:b w:val="0"/>
        </w:rPr>
        <w:t>2026-08-28</w:t>
      </w:r>
    </w:p>
    <w:p>
      <w:r>
        <w:rPr>
          <w:b/>
        </w:rPr>
        <w:t xml:space="preserve">Förfallodatum: </w:t>
      </w:r>
      <w:r>
        <w:rPr>
          <w:b w:val="0"/>
        </w:rPr>
        <w:t>2026-09-27</w:t>
      </w:r>
    </w:p>
    <w:p>
      <w:r>
        <w:rPr>
          <w:b/>
        </w:rPr>
        <w:t xml:space="preserve">Er referens: </w:t>
      </w:r>
      <w:r>
        <w:rPr>
          <w:b w:val="0"/>
        </w:rPr>
        <w:t>2026-08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Guldstaden Revision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2026-08 (19.2 timmar à 1000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19 200,00</w:t>
            </w:r>
          </w:p>
        </w:tc>
        <w:tc>
          <w:tcPr>
            <w:tcW w:type="dxa" w:w="1728"/>
          </w:tcPr>
          <w:p>
            <w:r>
              <w:t>4 800,00</w:t>
            </w:r>
          </w:p>
        </w:tc>
        <w:tc>
          <w:tcPr>
            <w:tcW w:type="dxa" w:w="1728"/>
          </w:tcPr>
          <w:p>
            <w:r>
              <w:t>24 000,00</w:t>
            </w:r>
          </w:p>
        </w:tc>
      </w:tr>
    </w:tbl>
    <w:p>
      <w:pPr>
        <w:jc w:val="right"/>
      </w:pPr>
      <w:r>
        <w:rPr>
          <w:b/>
        </w:rPr>
        <w:t>ATT BETALA: 24 000,00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