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Affärsplan 2026–2028</w:t>
      </w:r>
    </w:p>
    <w:p>
      <w:r>
        <w:rPr>
          <w:b/>
        </w:rPr>
        <w:t xml:space="preserve">Datum: </w:t>
      </w:r>
      <w:r>
        <w:rPr>
          <w:b w:val="0"/>
        </w:rPr>
        <w:t>Antagen av styrelsen 2026-03-12</w:t>
      </w:r>
    </w:p>
    <w:p>
      <w:r>
        <w:rPr>
          <w:b/>
        </w:rPr>
        <w:t xml:space="preserve">Upprättad av: </w:t>
      </w:r>
      <w:r>
        <w:rPr>
          <w:b w:val="0"/>
        </w:rPr>
        <w:t>Maja Lindqvist, VD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DOC-MGMT-011</w:t>
      </w:r>
    </w:p>
    <w:p>
      <w:r>
        <w:rPr>
          <w:b w:val="0"/>
          <w:i w:val="0"/>
        </w:rPr>
      </w:r>
    </w:p>
    <w:p>
      <w:r>
        <w:rPr>
          <w:b/>
          <w:i w:val="0"/>
        </w:rPr>
        <w:t>Strategiska 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Mål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Målvärde 2028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Ägare</w:t>
            </w:r>
          </w:p>
        </w:tc>
      </w:tr>
      <w:tr>
        <w:tc>
          <w:tcPr>
            <w:tcW w:type="dxa" w:w="2160"/>
          </w:tcPr>
          <w:p>
            <w:r>
              <w:t>M1. Minska SEAB-beroendet</w:t>
            </w:r>
          </w:p>
        </w:tc>
        <w:tc>
          <w:tcPr>
            <w:tcW w:type="dxa" w:w="2160"/>
          </w:tcPr>
          <w:p>
            <w:r>
              <w:t>SEAB:s andel av omsättningen</w:t>
            </w:r>
          </w:p>
        </w:tc>
        <w:tc>
          <w:tcPr>
            <w:tcW w:type="dxa" w:w="2160"/>
          </w:tcPr>
          <w:p>
            <w:r>
              <w:t>≤ 25 %</w:t>
            </w:r>
          </w:p>
        </w:tc>
        <w:tc>
          <w:tcPr>
            <w:tcW w:type="dxa" w:w="2160"/>
          </w:tcPr>
          <w:p>
            <w:r>
              <w:t>Maja Lindqvist, Sara Holm</w:t>
            </w:r>
          </w:p>
        </w:tc>
      </w:tr>
      <w:tr>
        <w:tc>
          <w:tcPr>
            <w:tcW w:type="dxa" w:w="2160"/>
          </w:tcPr>
          <w:p>
            <w:r>
              <w:t>M2. Skala återkommande intäkter (förvaltning)</w:t>
            </w:r>
          </w:p>
        </w:tc>
        <w:tc>
          <w:tcPr>
            <w:tcW w:type="dxa" w:w="2160"/>
          </w:tcPr>
          <w:p>
            <w:r>
              <w:t>Årlig förvaltningsintäkt</w:t>
            </w:r>
          </w:p>
        </w:tc>
        <w:tc>
          <w:tcPr>
            <w:tcW w:type="dxa" w:w="2160"/>
          </w:tcPr>
          <w:p>
            <w:r>
              <w:t>15 MSEK/år</w:t>
            </w:r>
          </w:p>
        </w:tc>
        <w:tc>
          <w:tcPr>
            <w:tcW w:type="dxa" w:w="2160"/>
          </w:tcPr>
          <w:p>
            <w:r>
              <w:t>Erik Norén</w:t>
            </w:r>
          </w:p>
        </w:tc>
      </w:tr>
      <w:tr>
        <w:tc>
          <w:tcPr>
            <w:tcW w:type="dxa" w:w="2160"/>
          </w:tcPr>
          <w:p>
            <w:r>
              <w:t>M3. Tillväxt i offentlig sektor</w:t>
            </w:r>
          </w:p>
        </w:tc>
        <w:tc>
          <w:tcPr>
            <w:tcW w:type="dxa" w:w="2160"/>
          </w:tcPr>
          <w:p>
            <w:r>
              <w:t>Offentlig omsättning</w:t>
            </w:r>
          </w:p>
        </w:tc>
        <w:tc>
          <w:tcPr>
            <w:tcW w:type="dxa" w:w="2160"/>
          </w:tcPr>
          <w:p>
            <w:r>
              <w:t>+15 % per år</w:t>
            </w:r>
          </w:p>
        </w:tc>
        <w:tc>
          <w:tcPr>
            <w:tcW w:type="dxa" w:w="2160"/>
          </w:tcPr>
          <w:p>
            <w:r>
              <w:t>Sara Holm</w:t>
            </w:r>
          </w:p>
        </w:tc>
      </w:tr>
    </w:tbl>
    <w:p>
      <w:r>
        <w:rPr>
          <w:b/>
          <w:i w:val="0"/>
        </w:rPr>
        <w:t>Marknadsantaganden</w:t>
      </w:r>
    </w:p>
    <w:p>
      <w:r>
        <w:rPr>
          <w:b w:val="0"/>
          <w:i w:val="0"/>
        </w:rPr>
        <w:t>– Offentlig sektor bedöms växa med 15 % per år drivet av digitaliseringssatsningar hos kommuner och regioner.</w:t>
      </w:r>
    </w:p>
    <w:p>
      <w:r>
        <w:rPr>
          <w:b w:val="0"/>
          <w:i w:val="0"/>
        </w:rPr>
        <w:t>– Enterprise-segmentet växer måttligt (5–8 %/år); SMB-marknaden är prispressad.</w:t>
      </w:r>
    </w:p>
    <w:p>
      <w:r>
        <w:rPr>
          <w:b w:val="0"/>
          <w:i w:val="0"/>
        </w:rPr>
        <w:t>– AI-tjänster (dataanalys, generativ AI) bedöms bli en ny intäktskälla från 2027.</w:t>
      </w:r>
    </w:p>
    <w:p>
      <w:r>
        <w:rPr>
          <w:b w:val="0"/>
          <w:i w:val="0"/>
        </w:rPr>
        <w:t>Stödinitiativ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Initiativ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Budget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Ägare</w:t>
            </w:r>
          </w:p>
        </w:tc>
      </w:tr>
      <w:tr>
        <w:tc>
          <w:tcPr>
            <w:tcW w:type="dxa" w:w="2880"/>
          </w:tcPr>
          <w:p>
            <w:r>
              <w:t>ND-Intern AI-initiativ</w:t>
            </w:r>
          </w:p>
        </w:tc>
        <w:tc>
          <w:tcPr>
            <w:tcW w:type="dxa" w:w="2880"/>
          </w:tcPr>
          <w:p>
            <w:r>
              <w:t>1,2 MSEK (2026)</w:t>
            </w:r>
          </w:p>
        </w:tc>
        <w:tc>
          <w:tcPr>
            <w:tcW w:type="dxa" w:w="2880"/>
          </w:tcPr>
          <w:p>
            <w:r>
              <w:t>Daniel Nyström</w:t>
            </w:r>
          </w:p>
        </w:tc>
      </w:tr>
      <w:tr>
        <w:tc>
          <w:tcPr>
            <w:tcW w:type="dxa" w:w="2880"/>
          </w:tcPr>
          <w:p>
            <w:r>
              <w:t>ND-Intern plattform (produktutveckling)</w:t>
            </w:r>
          </w:p>
        </w:tc>
        <w:tc>
          <w:tcPr>
            <w:tcW w:type="dxa" w:w="2880"/>
          </w:tcPr>
          <w:p>
            <w:r>
              <w:t>2,4 MSEK</w:t>
            </w:r>
          </w:p>
        </w:tc>
        <w:tc>
          <w:tcPr>
            <w:tcW w:type="dxa" w:w="2880"/>
          </w:tcPr>
          <w:p>
            <w:r>
              <w:t>David Ekström</w:t>
            </w:r>
          </w:p>
        </w:tc>
      </w:tr>
      <w:tr>
        <w:tc>
          <w:tcPr>
            <w:tcW w:type="dxa" w:w="2880"/>
          </w:tcPr>
          <w:p>
            <w:r>
              <w:t>Förvaltningspaketering (M2)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Enterprise-försäljning väst</w:t>
            </w:r>
          </w:p>
        </w:tc>
        <w:tc>
          <w:tcPr>
            <w:tcW w:type="dxa" w:w="2880"/>
          </w:tcPr>
          <w:p>
            <w:r>
              <w:t>0,5 MSEK/år</w:t>
            </w:r>
          </w:p>
        </w:tc>
        <w:tc>
          <w:tcPr>
            <w:tcW w:type="dxa" w:w="2880"/>
          </w:tcPr>
          <w:p>
            <w:r>
              <w:t>Sara Holm</w:t>
            </w:r>
          </w:p>
        </w:tc>
      </w:tr>
      <w:tr>
        <w:tc>
          <w:tcPr>
            <w:tcW w:type="dxa" w:w="2880"/>
          </w:tcPr>
          <w:p>
            <w:r>
              <w:t>Kontor Göteborg (utvärderas)</w:t>
            </w:r>
          </w:p>
        </w:tc>
        <w:tc>
          <w:tcPr>
            <w:tcW w:type="dxa" w:w="2880"/>
          </w:tcPr>
          <w:p>
            <w:r>
              <w:t>Se kalkyl DOC-MGMT-014</w:t>
            </w:r>
          </w:p>
        </w:tc>
        <w:tc>
          <w:tcPr>
            <w:tcW w:type="dxa" w:w="2880"/>
          </w:tcPr>
          <w:p>
            <w:r>
              <w:t>Maja Lindqvist</w:t>
            </w:r>
          </w:p>
        </w:tc>
      </w:tr>
    </w:tbl>
    <w:p>
      <w:r>
        <w:rPr>
          <w:b w:val="0"/>
          <w:i w:val="0"/>
        </w:rPr>
        <w:t>Uppföljning: Målen följs upp kvartalsvis i KPI-rapporten och vid styrelsemöten.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