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Värderingsmemo – Nordviken Digital AB</w:t>
      </w:r>
    </w:p>
    <w:p>
      <w:r>
        <w:rPr>
          <w:b/>
        </w:rPr>
        <w:t xml:space="preserve">Datum: </w:t>
      </w:r>
      <w:r>
        <w:rPr>
          <w:b w:val="0"/>
        </w:rPr>
        <w:t>Upprättad 2026-09-15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DOC-MGMT-017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Syfte: internt underlag inför styrelsens diskussion om utdelning och eventuellt delägarskifte.</w:t>
      </w:r>
    </w:p>
    <w:p>
      <w:r>
        <w:rPr>
          <w:b/>
          <w:i w:val="0"/>
        </w:rPr>
        <w:t>DCF (evighetsvärde)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Antagande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EBIT 2026 (normaliserad)</w:t>
            </w:r>
          </w:p>
        </w:tc>
        <w:tc>
          <w:tcPr>
            <w:tcW w:type="dxa" w:w="4320"/>
          </w:tcPr>
          <w:p>
            <w:r>
              <w:t>8 600 000 kr</w:t>
            </w:r>
          </w:p>
        </w:tc>
      </w:tr>
      <w:tr>
        <w:tc>
          <w:tcPr>
            <w:tcW w:type="dxa" w:w="4320"/>
          </w:tcPr>
          <w:p>
            <w:r>
              <w:t>Skatt</w:t>
            </w:r>
          </w:p>
        </w:tc>
        <w:tc>
          <w:tcPr>
            <w:tcW w:type="dxa" w:w="4320"/>
          </w:tcPr>
          <w:p>
            <w:r>
              <w:t>20,6 %</w:t>
            </w:r>
          </w:p>
        </w:tc>
      </w:tr>
      <w:tr>
        <w:tc>
          <w:tcPr>
            <w:tcW w:type="dxa" w:w="4320"/>
          </w:tcPr>
          <w:p>
            <w:r>
              <w:t>Investeringar (netto)</w:t>
            </w:r>
          </w:p>
        </w:tc>
        <w:tc>
          <w:tcPr>
            <w:tcW w:type="dxa" w:w="4320"/>
          </w:tcPr>
          <w:p>
            <w:r>
              <w:t>1 200 000 kr/år</w:t>
            </w:r>
          </w:p>
        </w:tc>
      </w:tr>
      <w:tr>
        <w:tc>
          <w:tcPr>
            <w:tcW w:type="dxa" w:w="4320"/>
          </w:tcPr>
          <w:p>
            <w:r>
              <w:t>Fritt kassaflöde</w:t>
            </w:r>
          </w:p>
        </w:tc>
        <w:tc>
          <w:tcPr>
            <w:tcW w:type="dxa" w:w="4320"/>
          </w:tcPr>
          <w:p>
            <w:r>
              <w:t>5 900 000 kr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12 %</w:t>
            </w:r>
          </w:p>
        </w:tc>
      </w:tr>
      <w:tr>
        <w:tc>
          <w:tcPr>
            <w:tcW w:type="dxa" w:w="4320"/>
          </w:tcPr>
          <w:p>
            <w:r>
              <w:t>Evig tillväxt</w:t>
            </w:r>
          </w:p>
        </w:tc>
        <w:tc>
          <w:tcPr>
            <w:tcW w:type="dxa" w:w="4320"/>
          </w:tcPr>
          <w:p>
            <w:r>
              <w:t>4 %</w:t>
            </w:r>
          </w:p>
        </w:tc>
      </w:tr>
      <w:tr>
        <w:tc>
          <w:tcPr>
            <w:tcW w:type="dxa" w:w="4320"/>
          </w:tcPr>
          <w:p>
            <w:r>
              <w:t>EV (DCF)</w:t>
            </w:r>
          </w:p>
        </w:tc>
        <w:tc>
          <w:tcPr>
            <w:tcW w:type="dxa" w:w="4320"/>
          </w:tcPr>
          <w:p>
            <w:r>
              <w:t>5,9 / (0,12 − 0,04) ≈ 73,8 MSEK</w:t>
            </w:r>
          </w:p>
        </w:tc>
      </w:tr>
    </w:tbl>
    <w:p>
      <w:r>
        <w:rPr>
          <w:b w:val="0"/>
          <w:i w:val="0"/>
        </w:rPr>
        <w:t>Multipelvärdering: EV/EBIT 8–10× på 8,6 MSEK ger 68,8–86,0 MSEK.</w:t>
      </w:r>
    </w:p>
    <w:p>
      <w:r>
        <w:rPr>
          <w:b w:val="0"/>
          <w:i w:val="0"/>
        </w:rPr>
        <w:t>Känslighet: om SEAB-beroendet (34,4 %) prissätts med rabatt om 15 % sjunker värdet till cirka 63–73 MSEK. Vid kundförlust SEAB (scenario: −35 % EBIT) faller värdet till cirka 45–55 MSEK.</w:t>
      </w:r>
    </w:p>
    <w:p>
      <w:r>
        <w:rPr>
          <w:b w:val="0"/>
          <w:i w:val="0"/>
        </w:rPr>
        <w:t>Slutsats: värdeintervall 60–85 MSEK i basscenariot, med nyckelrisk i kundkoncentrationen.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