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Optionsprogram för nyckelpersoner</w:t>
      </w:r>
    </w:p>
    <w:p>
      <w:r>
        <w:rPr>
          <w:b w:val="0"/>
          <w:i w:val="0"/>
        </w:rPr>
        <w:t>Avtalsnummer: CTR-AKT-002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Bolaget</w:t>
            </w:r>
          </w:p>
        </w:tc>
      </w:tr>
      <w:tr>
        <w:tc>
          <w:tcPr>
            <w:tcW w:type="dxa" w:w="4677"/>
          </w:tcPr>
          <w:p>
            <w:r>
              <w:t>Styrelsen</w:t>
            </w:r>
          </w:p>
        </w:tc>
        <w:tc>
          <w:tcPr>
            <w:tcW w:type="dxa" w:w="4677"/>
          </w:tcPr>
          <w:p>
            <w:r>
              <w:t>Beslutande organ</w:t>
            </w:r>
          </w:p>
        </w:tc>
      </w:tr>
      <w:tr>
        <w:tc>
          <w:tcPr>
            <w:tcW w:type="dxa" w:w="4677"/>
          </w:tcPr>
          <w:p>
            <w:r>
              <w:t>Nyckelpersoner</w:t>
            </w:r>
          </w:p>
        </w:tc>
        <w:tc>
          <w:tcPr>
            <w:tcW w:type="dxa" w:w="4677"/>
          </w:tcPr>
          <w:p>
            <w:r>
              <w:t>Optionsinnehavare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Bolaget önskar skapa långsiktiga incitament för nyckelpersoner i verksamheten.</w:t>
      </w:r>
    </w:p>
    <w:p>
      <w:r>
        <w:rPr>
          <w:b w:val="0"/>
          <w:i w:val="0"/>
        </w:rPr>
        <w:t>B. Styrelsen har därför beslutat om ett teckningsoptionsprogram.</w:t>
      </w:r>
    </w:p>
    <w:p>
      <w:pPr>
        <w:pStyle w:val="Heading2"/>
      </w:pPr>
      <w:r>
        <w:t>1. Optionsprogrammets omfattning</w:t>
      </w:r>
    </w:p>
    <w:p>
      <w:r>
        <w:rPr>
          <w:b w:val="0"/>
          <w:i w:val="0"/>
        </w:rPr>
        <w:t>Programmet omfattar teckningsoptioner motsvarande tre (3) procent av aktierna i bolaget.</w:t>
      </w:r>
    </w:p>
    <w:p>
      <w:pPr>
        <w:pStyle w:val="Heading2"/>
      </w:pPr>
      <w:r>
        <w:t>2. Lösen</w:t>
      </w:r>
    </w:p>
    <w:p>
      <w:r>
        <w:rPr>
          <w:b w:val="0"/>
          <w:i w:val="0"/>
        </w:rPr>
        <w:t>Teckningsoptionerna kan utnyttjas för teckning av aktier under år 2028.</w:t>
      </w:r>
    </w:p>
    <w:p>
      <w:pPr>
        <w:pStyle w:val="Heading2"/>
      </w:pPr>
      <w:r>
        <w:t>3. Villkor för utnyttjande</w:t>
      </w:r>
    </w:p>
    <w:p>
      <w:r>
        <w:rPr>
          <w:b w:val="0"/>
          <w:i w:val="0"/>
        </w:rPr>
        <w:t>Närmare villkor för utnyttjande av optionerna framgår av teckningsoptionsvillkoren, som utgör en integrerad del av detta avtal.</w:t>
      </w:r>
    </w:p>
    <w:p>
      <w:pPr>
        <w:pStyle w:val="Heading2"/>
      </w:pPr>
      <w:r>
        <w:t>4. Intjänande</w:t>
      </w:r>
    </w:p>
    <w:p>
      <w:r>
        <w:rPr>
          <w:b w:val="0"/>
          <w:i w:val="0"/>
        </w:rPr>
        <w:t>Rätten att utnyttja teckningsoptionerna förutsätter att optionsinnehavaren vid utnyttjandetiden alltjämt är anställd i eller uppdragstagare till bolaget, om inte annat följer av teckningsoptionsvillkoren.</w:t>
      </w:r>
    </w:p>
    <w:p>
      <w:pPr>
        <w:pStyle w:val="Heading2"/>
      </w:pPr>
      <w:r>
        <w:t>5. Överlåtelse av optioner</w:t>
      </w:r>
    </w:p>
    <w:p>
      <w:r>
        <w:rPr>
          <w:b w:val="0"/>
          <w:i w:val="0"/>
        </w:rPr>
        <w:t>Teckningsoptionerna är personliga och får inte överlåtas eller pantsättas utan styrelsens skriftliga medgivande.</w:t>
      </w:r>
    </w:p>
    <w:p>
      <w:pPr>
        <w:pStyle w:val="Heading2"/>
      </w:pPr>
      <w:r>
        <w:t>6.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7. Övrigt</w:t>
      </w:r>
    </w:p>
    <w:p>
      <w:r>
        <w:rPr>
          <w:b w:val="0"/>
          <w:i w:val="0"/>
        </w:rPr>
        <w:t>Ändringar av detta avtal ska vara skriftliga.</w:t>
      </w:r>
    </w:p>
    <w:p>
      <w:pPr>
        <w:pStyle w:val="Heading2"/>
      </w:pPr>
      <w:r>
        <w:t>Övriga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Sekretess: Vardera parten ska hemlighålla information om motpartens verksamhet som parten får del av med anledning av detta avtal och som är av konfidentiell natur.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Eva Granlund, styrelseordförande</w:t>
            </w:r>
          </w:p>
        </w:tc>
        <w:tc>
          <w:tcPr>
            <w:tcW w:type="dxa" w:w="3118"/>
          </w:tcPr>
          <w:p>
            <w:r>
              <w:t>12.06.2025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