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Konvertibelavtal</w:t>
      </w:r>
    </w:p>
    <w:p>
      <w:r>
        <w:rPr>
          <w:b w:val="0"/>
          <w:i w:val="0"/>
        </w:rPr>
        <w:t>Avtalsnummer: CTR-SUPPL-028</w:t>
      </w:r>
    </w:p>
    <w:p>
      <w:r>
        <w:rPr>
          <w:b/>
          <w:i w:val="0"/>
        </w:rPr>
        <w:t>Parter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Part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Roll</w:t>
            </w:r>
          </w:p>
        </w:tc>
      </w:tr>
      <w:tr>
        <w:tc>
          <w:tcPr>
            <w:tcW w:type="dxa" w:w="4677"/>
          </w:tcPr>
          <w:p>
            <w:r>
              <w:t>Nordviken Digital AB</w:t>
            </w:r>
          </w:p>
        </w:tc>
        <w:tc>
          <w:tcPr>
            <w:tcW w:type="dxa" w:w="4677"/>
          </w:tcPr>
          <w:p>
            <w:r>
              <w:t>Bolaget</w:t>
            </w:r>
          </w:p>
        </w:tc>
      </w:tr>
      <w:tr>
        <w:tc>
          <w:tcPr>
            <w:tcW w:type="dxa" w:w="4677"/>
          </w:tcPr>
          <w:p>
            <w:r>
              <w:t>Maja Lindqvist</w:t>
            </w:r>
          </w:p>
        </w:tc>
        <w:tc>
          <w:tcPr>
            <w:tcW w:type="dxa" w:w="4677"/>
          </w:tcPr>
          <w:p>
            <w:r>
              <w:t>Långivare</w:t>
            </w:r>
          </w:p>
        </w:tc>
      </w:tr>
      <w:tr>
        <w:tc>
          <w:tcPr>
            <w:tcW w:type="dxa" w:w="4677"/>
          </w:tcPr>
          <w:p>
            <w:r>
              <w:t>Jonas Sandberg</w:t>
            </w:r>
          </w:p>
        </w:tc>
        <w:tc>
          <w:tcPr>
            <w:tcW w:type="dxa" w:w="4677"/>
          </w:tcPr>
          <w:p>
            <w:r>
              <w:t>Långivare</w:t>
            </w:r>
          </w:p>
        </w:tc>
      </w:tr>
      <w:tr>
        <w:tc>
          <w:tcPr>
            <w:tcW w:type="dxa" w:w="4677"/>
          </w:tcPr>
          <w:p>
            <w:r>
              <w:t>Anders Bergström</w:t>
            </w:r>
          </w:p>
        </w:tc>
        <w:tc>
          <w:tcPr>
            <w:tcW w:type="dxa" w:w="4677"/>
          </w:tcPr>
          <w:p>
            <w:r>
              <w:t>Långivare</w:t>
            </w:r>
          </w:p>
        </w:tc>
      </w:tr>
    </w:tbl>
    <w:p>
      <w:r>
        <w:rPr>
          <w:b/>
          <w:i w:val="0"/>
        </w:rPr>
        <w:t>Bakgrund</w:t>
      </w:r>
    </w:p>
    <w:p>
      <w:r>
        <w:rPr>
          <w:b w:val="0"/>
          <w:i w:val="0"/>
        </w:rPr>
        <w:t>A. Bolaget har behov av finansiering för sin fortsatta expansion.</w:t>
      </w:r>
    </w:p>
    <w:p>
      <w:r>
        <w:rPr>
          <w:b w:val="0"/>
          <w:i w:val="0"/>
        </w:rPr>
        <w:t>B. Långivarna har åtagit sig att lämna ett konvertibelt lån till bolaget enligt detta avtal.</w:t>
      </w:r>
    </w:p>
    <w:p>
      <w:pPr>
        <w:pStyle w:val="Heading2"/>
      </w:pPr>
      <w:r>
        <w:t>1. Lånets storlek</w:t>
      </w:r>
    </w:p>
    <w:p>
      <w:r>
        <w:rPr>
          <w:b w:val="0"/>
          <w:i w:val="0"/>
        </w:rPr>
        <w:t>Långivarna lämnar ett konvertibelt lån om sammanlagt 1 500 000,00 kr till bolaget.</w:t>
      </w:r>
    </w:p>
    <w:p>
      <w:pPr>
        <w:pStyle w:val="Heading2"/>
      </w:pPr>
      <w:r>
        <w:t>2. Konvertering</w:t>
      </w:r>
    </w:p>
    <w:p>
      <w:r>
        <w:rPr>
          <w:b w:val="0"/>
          <w:i w:val="0"/>
        </w:rPr>
        <w:t>Lånet kan konverteras till aktier tidigast 2027-03-31. Konvertering sker till en kurs som motsvarar en bolagsvärdering om 12 000 000 kr.</w:t>
      </w:r>
    </w:p>
    <w:p>
      <w:pPr>
        <w:pStyle w:val="Heading2"/>
      </w:pPr>
      <w:r>
        <w:t>3. Konverteringsförfarande</w:t>
      </w:r>
    </w:p>
    <w:p>
      <w:r>
        <w:rPr>
          <w:b w:val="0"/>
          <w:i w:val="0"/>
        </w:rPr>
        <w:t>Konvertering sker genom skriftlig begäran från långivaren. Vid konvertering ska bolaget utan dröjsmål genomföra erforderliga bolagsrättsliga åtgärder.</w:t>
      </w:r>
    </w:p>
    <w:p>
      <w:pPr>
        <w:pStyle w:val="Heading2"/>
      </w:pPr>
      <w:r>
        <w:t>4. Ränta</w:t>
      </w:r>
    </w:p>
    <w:p>
      <w:r>
        <w:rPr>
          <w:b w:val="0"/>
          <w:i w:val="0"/>
        </w:rPr>
        <w:t>Ränta utgår enligt separat överenskommelse mellan parterna.</w:t>
      </w:r>
    </w:p>
    <w:p>
      <w:pPr>
        <w:pStyle w:val="Heading2"/>
      </w:pPr>
      <w:r>
        <w:t>5. Förtida återbetalning</w:t>
      </w:r>
    </w:p>
    <w:p>
      <w:r>
        <w:rPr>
          <w:b w:val="0"/>
          <w:i w:val="0"/>
        </w:rPr>
        <w:t>Villkor för förtida återbetalning framgår av separat överenskommelse mellan parterna.</w:t>
      </w:r>
    </w:p>
    <w:p>
      <w:pPr>
        <w:pStyle w:val="Heading2"/>
      </w:pPr>
      <w:r>
        <w:t>6. Meddelanden</w:t>
      </w:r>
    </w:p>
    <w:p>
      <w:r>
        <w:rPr>
          <w:b w:val="0"/>
          <w:i w:val="0"/>
        </w:rPr>
        <w:t>Meddelanden enligt detta avtal ska ske skriftligen.</w:t>
      </w:r>
    </w:p>
    <w:p>
      <w:pPr>
        <w:pStyle w:val="Heading2"/>
      </w:pPr>
      <w:r>
        <w:t>7. Övrigt</w:t>
      </w:r>
    </w:p>
    <w:p>
      <w:r>
        <w:rPr>
          <w:b w:val="0"/>
          <w:i w:val="0"/>
        </w:rPr>
        <w:t>Ändringar av avtalet ska vara skriftliga. Svensk rätt tillämpas på avtalet.</w:t>
      </w:r>
    </w:p>
    <w:p>
      <w:pPr>
        <w:pStyle w:val="Heading2"/>
      </w:pPr>
      <w:r>
        <w:t>Övriga bestämmelser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pPr>
        <w:pStyle w:val="Heading2"/>
      </w:pPr>
      <w:r>
        <w:t>Underskrifter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Part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Namnförtydligande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Ort och datum</w:t>
            </w:r>
          </w:p>
        </w:tc>
      </w:tr>
      <w:tr>
        <w:tc>
          <w:tcPr>
            <w:tcW w:type="dxa" w:w="3118"/>
          </w:tcPr>
          <w:p>
            <w:r>
              <w:t>Nordviken Digital AB</w:t>
            </w:r>
          </w:p>
        </w:tc>
        <w:tc>
          <w:tcPr>
            <w:tcW w:type="dxa" w:w="3118"/>
          </w:tcPr>
          <w:p>
            <w:r>
              <w:t>Maja Lindqvist, VD</w:t>
            </w:r>
          </w:p>
        </w:tc>
        <w:tc>
          <w:tcPr>
            <w:tcW w:type="dxa" w:w="3118"/>
          </w:tcPr>
          <w:p>
            <w:r>
              <w:t>20.03.2025</w:t>
            </w:r>
          </w:p>
        </w:tc>
      </w:tr>
      <w:tr>
        <w:tc>
          <w:tcPr>
            <w:tcW w:type="dxa" w:w="3118"/>
          </w:tcPr>
          <w:p>
            <w:r>
              <w:t>Maja Lindqvist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>
              <w:t>Jonas Sandberg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>
              <w:t>Anders Bergström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