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Modellfabriken AB (nedan "Part B"). Parterna benämns gemensamt "Parterna".</w:t>
      </w:r>
    </w:p>
    <w:p>
      <w:r>
        <w:rPr>
          <w:b w:val="0"/>
          <w:i w:val="0"/>
        </w:rPr>
        <w:t>Avtalsdatum: 22.12.2024</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Modellfabriken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