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SAM – riskbedömning arbetsmiljö 2026</w:t>
      </w:r>
    </w:p>
    <w:p>
      <w:r>
        <w:rPr>
          <w:b/>
        </w:rPr>
        <w:t xml:space="preserve">Datum: </w:t>
      </w:r>
      <w:r>
        <w:rPr>
          <w:b w:val="0"/>
        </w:rPr>
        <w:t>2026-02-10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DOC-EMP-012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Riskbedömning enligt AFS 2001:1 (systematiskt arbetsmiljöarbete), genomförd med skyddsombud och ledningsgrupp.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Sannolikhet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Konsekvens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Hög arbetsbelastning i leveransteamet (övertid, kunddeadlines)</w:t>
            </w:r>
          </w:p>
        </w:tc>
        <w:tc>
          <w:tcPr>
            <w:tcW w:type="dxa" w:w="1728"/>
          </w:tcPr>
          <w:p>
            <w:r>
              <w:t>Hög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Beläggningsmål per team, övertidsöversyn, förstärkning med underkonsulter</w:t>
            </w:r>
          </w:p>
        </w:tc>
        <w:tc>
          <w:tcPr>
            <w:tcW w:type="dxa" w:w="1728"/>
          </w:tcPr>
          <w:p>
            <w:r>
              <w:t>Pågående</w:t>
            </w:r>
          </w:p>
        </w:tc>
      </w:tr>
      <w:tr>
        <w:tc>
          <w:tcPr>
            <w:tcW w:type="dxa" w:w="1728"/>
          </w:tcPr>
          <w:p>
            <w:r>
              <w:t>Ensamkompetens inom data/AI, arkitektur och testledning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Hög</w:t>
            </w:r>
          </w:p>
        </w:tc>
        <w:tc>
          <w:tcPr>
            <w:tcW w:type="dxa" w:w="1728"/>
          </w:tcPr>
          <w:p>
            <w:r>
              <w:t>Kunskapsöverföring och breddning (se kompetensmatris)</w:t>
            </w:r>
          </w:p>
        </w:tc>
        <w:tc>
          <w:tcPr>
            <w:tcW w:type="dxa" w:w="1728"/>
          </w:tcPr>
          <w:p>
            <w:r>
              <w:t>Ej startad</w:t>
            </w:r>
          </w:p>
        </w:tc>
      </w:tr>
      <w:tr>
        <w:tc>
          <w:tcPr>
            <w:tcW w:type="dxa" w:w="1728"/>
          </w:tcPr>
          <w:p>
            <w:r>
              <w:t>Skärmarbete och stillasittande</w:t>
            </w:r>
          </w:p>
        </w:tc>
        <w:tc>
          <w:tcPr>
            <w:tcW w:type="dxa" w:w="1728"/>
          </w:tcPr>
          <w:p>
            <w:r>
              <w:t>Hög</w:t>
            </w:r>
          </w:p>
        </w:tc>
        <w:tc>
          <w:tcPr>
            <w:tcW w:type="dxa" w:w="1728"/>
          </w:tcPr>
          <w:p>
            <w:r>
              <w:t>Låg</w:t>
            </w:r>
          </w:p>
        </w:tc>
        <w:tc>
          <w:tcPr>
            <w:tcW w:type="dxa" w:w="1728"/>
          </w:tcPr>
          <w:p>
            <w:r>
              <w:t>Ergonomiskt stöd, rastrutiner</w:t>
            </w:r>
          </w:p>
        </w:tc>
        <w:tc>
          <w:tcPr>
            <w:tcW w:type="dxa" w:w="1728"/>
          </w:tcPr>
          <w:p>
            <w:r>
              <w:t>Genomförd</w:t>
            </w:r>
          </w:p>
        </w:tc>
      </w:tr>
      <w:tr>
        <w:tc>
          <w:tcPr>
            <w:tcW w:type="dxa" w:w="1728"/>
          </w:tcPr>
          <w:p>
            <w:r>
              <w:t>Arbetsmiljöansvar för inhyrd personal (underkonsulter)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Tydliggöra ansvarsfördelningen i avtal med underkonsulter</w:t>
            </w:r>
          </w:p>
        </w:tc>
        <w:tc>
          <w:tcPr>
            <w:tcW w:type="dxa" w:w="1728"/>
          </w:tcPr>
          <w:p>
            <w:r>
              <w:t>Pågående – otydligt i nuvarande avtal</w:t>
            </w:r>
          </w:p>
        </w:tc>
      </w:tr>
      <w:tr>
        <w:tc>
          <w:tcPr>
            <w:tcW w:type="dxa" w:w="1728"/>
          </w:tcPr>
          <w:p>
            <w:r>
              <w:t>Ensamarbete vid kvällsjour</w:t>
            </w:r>
          </w:p>
        </w:tc>
        <w:tc>
          <w:tcPr>
            <w:tcW w:type="dxa" w:w="1728"/>
          </w:tcPr>
          <w:p>
            <w:r>
              <w:t>Låg</w:t>
            </w:r>
          </w:p>
        </w:tc>
        <w:tc>
          <w:tcPr>
            <w:tcW w:type="dxa" w:w="1728"/>
          </w:tcPr>
          <w:p>
            <w:r>
              <w:t>Låg</w:t>
            </w:r>
          </w:p>
        </w:tc>
        <w:tc>
          <w:tcPr>
            <w:tcW w:type="dxa" w:w="1728"/>
          </w:tcPr>
          <w:p>
            <w:r>
              <w:t>Jourschema med två i beredskap</w:t>
            </w:r>
          </w:p>
        </w:tc>
        <w:tc>
          <w:tcPr>
            <w:tcW w:type="dxa" w:w="1728"/>
          </w:tcPr>
          <w:p>
            <w:r>
              <w:t>Genomförd</w:t>
            </w:r>
          </w:p>
        </w:tc>
      </w:tr>
    </w:tbl>
    <w:p>
      <w:r>
        <w:rPr>
          <w:b w:val="0"/>
          <w:i w:val="0"/>
        </w:rPr>
        <w:t>Uppföljning: nästa riskbedömning 2027-02.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