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SIN-2024-0065</w:t>
      </w:r>
    </w:p>
    <w:p>
      <w:r>
        <w:rPr>
          <w:b/>
        </w:rPr>
        <w:t xml:space="preserve">Fakturadatum: </w:t>
      </w:r>
      <w:r>
        <w:rPr>
          <w:b w:val="0"/>
        </w:rPr>
        <w:t>2024-11-15</w:t>
      </w:r>
    </w:p>
    <w:p>
      <w:r>
        <w:rPr>
          <w:b/>
        </w:rPr>
        <w:t xml:space="preserve">Förfallodatum: </w:t>
      </w:r>
      <w:r>
        <w:rPr>
          <w:b w:val="0"/>
        </w:rPr>
        <w:t>2024-12-15</w:t>
      </w:r>
    </w:p>
    <w:p>
      <w:r>
        <w:rPr>
          <w:b/>
        </w:rPr>
        <w:t xml:space="preserve">Avser: </w:t>
      </w:r>
      <w:r>
        <w:rPr>
          <w:b w:val="0"/>
        </w:rPr>
        <w:t>20 laptops + skärmar (aktiveras)</w:t>
      </w:r>
    </w:p>
    <w:p>
      <w:r>
        <w:rPr>
          <w:b/>
        </w:rPr>
        <w:t xml:space="preserve">Konto: </w:t>
      </w:r>
      <w:r>
        <w:rPr>
          <w:b w:val="0"/>
        </w:rPr>
        <w:t>1250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20 laptops + skärmar (aktiveras)</w:t>
            </w:r>
          </w:p>
        </w:tc>
        <w:tc>
          <w:tcPr>
            <w:tcW w:type="dxa" w:w="2160"/>
          </w:tcPr>
          <w:p>
            <w:r>
              <w:t>350 000,00</w:t>
            </w:r>
          </w:p>
        </w:tc>
        <w:tc>
          <w:tcPr>
            <w:tcW w:type="dxa" w:w="2160"/>
          </w:tcPr>
          <w:p>
            <w:r>
              <w:t>87 500,00</w:t>
            </w:r>
          </w:p>
        </w:tc>
        <w:tc>
          <w:tcPr>
            <w:tcW w:type="dxa" w:w="2160"/>
          </w:tcPr>
          <w:p>
            <w:r>
              <w:t>437 500,00</w:t>
            </w:r>
          </w:p>
        </w:tc>
      </w:tr>
    </w:tbl>
    <w:p>
      <w:pPr>
        <w:jc w:val="right"/>
      </w:pPr>
      <w:r>
        <w:rPr>
          <w:b/>
        </w:rPr>
        <w:t>ATT BETALA: 437 500,00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