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Städfirman Ren &amp; Fin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SIN-2026-0295</w:t>
      </w:r>
    </w:p>
    <w:p>
      <w:r>
        <w:rPr>
          <w:b/>
        </w:rPr>
        <w:t xml:space="preserve">Fakturadatum: </w:t>
      </w:r>
      <w:r>
        <w:rPr>
          <w:b w:val="0"/>
        </w:rPr>
        <w:t>2026-09-14</w:t>
      </w:r>
    </w:p>
    <w:p>
      <w:r>
        <w:rPr>
          <w:b/>
        </w:rPr>
        <w:t xml:space="preserve">Förfallodatum: </w:t>
      </w:r>
      <w:r>
        <w:rPr>
          <w:b w:val="0"/>
        </w:rPr>
        <w:t>2026-10-14</w:t>
      </w:r>
    </w:p>
    <w:p>
      <w:r>
        <w:rPr>
          <w:b/>
        </w:rPr>
        <w:t xml:space="preserve">Avser: </w:t>
      </w:r>
      <w:r>
        <w:rPr>
          <w:b w:val="0"/>
        </w:rPr>
        <w:t>Städning</w:t>
      </w:r>
    </w:p>
    <w:p>
      <w:r>
        <w:rPr>
          <w:b/>
        </w:rPr>
        <w:t xml:space="preserve">Konto: </w:t>
      </w:r>
      <w:r>
        <w:rPr>
          <w:b w:val="0"/>
        </w:rPr>
        <w:t>5060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Städning</w:t>
            </w:r>
          </w:p>
        </w:tc>
        <w:tc>
          <w:tcPr>
            <w:tcW w:type="dxa" w:w="2160"/>
          </w:tcPr>
          <w:p>
            <w:r>
              <w:t>8 436,00</w:t>
            </w:r>
          </w:p>
        </w:tc>
        <w:tc>
          <w:tcPr>
            <w:tcW w:type="dxa" w:w="2160"/>
          </w:tcPr>
          <w:p>
            <w:r>
              <w:t>2 109,00</w:t>
            </w:r>
          </w:p>
        </w:tc>
        <w:tc>
          <w:tcPr>
            <w:tcW w:type="dxa" w:w="2160"/>
          </w:tcPr>
          <w:p>
            <w:r>
              <w:t>10 545,00</w:t>
            </w:r>
          </w:p>
        </w:tc>
      </w:tr>
    </w:tbl>
    <w:p>
      <w:pPr>
        <w:jc w:val="right"/>
      </w:pPr>
      <w:r>
        <w:rPr>
          <w:b/>
        </w:rPr>
        <w:t>ATT BETALA: 10 545,00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