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INV-2025-0103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Aftonrodnans Restauranger AB</w:t>
      </w:r>
    </w:p>
    <w:p>
      <w:r>
        <w:rPr>
          <w:b w:val="0"/>
          <w:i w:val="0"/>
        </w:rPr>
        <w:t xml:space="preserve">Projekt: P-2425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(82.8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83 628,00</w:t>
            </w:r>
          </w:p>
        </w:tc>
        <w:tc>
          <w:tcPr>
            <w:tcW w:type="dxa" w:w="1728"/>
          </w:tcPr>
          <w:p>
            <w:r>
              <w:t>20 907,00</w:t>
            </w:r>
          </w:p>
        </w:tc>
        <w:tc>
          <w:tcPr>
            <w:tcW w:type="dxa" w:w="1728"/>
          </w:tcPr>
          <w:p>
            <w:r>
              <w:t>104 535,00</w:t>
            </w:r>
          </w:p>
        </w:tc>
      </w:tr>
    </w:tbl>
    <w:p>
      <w:pPr>
        <w:jc w:val="right"/>
      </w:pPr>
      <w:r>
        <w:rPr>
          <w:b/>
        </w:rPr>
        <w:t>ATT BETALA: 104 535,00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