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INV-2026-0101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Läromedelshuset AB</w:t>
      </w:r>
    </w:p>
    <w:p>
      <w:r>
        <w:rPr>
          <w:b w:val="0"/>
          <w:i w:val="0"/>
        </w:rPr>
        <w:t xml:space="preserve">Projekt: P-2426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500 000,00</w:t>
            </w:r>
          </w:p>
        </w:tc>
        <w:tc>
          <w:tcPr>
            <w:tcW w:type="dxa" w:w="1728"/>
          </w:tcPr>
          <w:p>
            <w:r>
              <w:t>125 000,00</w:t>
            </w:r>
          </w:p>
        </w:tc>
        <w:tc>
          <w:tcPr>
            <w:tcW w:type="dxa" w:w="1728"/>
          </w:tcPr>
          <w:p>
            <w:r>
              <w:t>625 000,00</w:t>
            </w:r>
          </w:p>
        </w:tc>
      </w:tr>
    </w:tbl>
    <w:p>
      <w:pPr>
        <w:jc w:val="right"/>
      </w:pPr>
      <w:r>
        <w:rPr>
          <w:b/>
        </w:rPr>
        <w:t>ATT BETALA: 625 000,00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