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Likviditetsprognos Q4 (okt–dec 2026)</w:t>
      </w:r>
    </w:p>
    <w:p>
      <w:r>
        <w:rPr>
          <w:b/>
        </w:rPr>
        <w:t xml:space="preserve">Datum: </w:t>
      </w:r>
      <w:r>
        <w:rPr>
          <w:b w:val="0"/>
        </w:rPr>
        <w:t>Upprättad 2026-09-30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DOC-MGMT-013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Vecka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Inbetalningar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Utbetalningar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Utgående likviditet (kassa + kredit)</w:t>
            </w:r>
          </w:p>
        </w:tc>
      </w:tr>
      <w:tr>
        <w:tc>
          <w:tcPr>
            <w:tcW w:type="dxa" w:w="2160"/>
          </w:tcPr>
          <w:p>
            <w:r>
              <w:t>v41 (5–9 okt)</w:t>
            </w:r>
          </w:p>
        </w:tc>
        <w:tc>
          <w:tcPr>
            <w:tcW w:type="dxa" w:w="2160"/>
          </w:tcPr>
          <w:p>
            <w:r>
              <w:t>2 100 000</w:t>
            </w:r>
          </w:p>
        </w:tc>
        <w:tc>
          <w:tcPr>
            <w:tcW w:type="dxa" w:w="2160"/>
          </w:tcPr>
          <w:p>
            <w:r>
              <w:t>1 350 000</w:t>
            </w:r>
          </w:p>
        </w:tc>
        <w:tc>
          <w:tcPr>
            <w:tcW w:type="dxa" w:w="2160"/>
          </w:tcPr>
          <w:p>
            <w:r>
              <w:t>11 434 000</w:t>
            </w:r>
          </w:p>
        </w:tc>
      </w:tr>
      <w:tr>
        <w:tc>
          <w:tcPr>
            <w:tcW w:type="dxa" w:w="2160"/>
          </w:tcPr>
          <w:p>
            <w:r>
              <w:t>v42 (12–16 okt)</w:t>
            </w:r>
          </w:p>
        </w:tc>
        <w:tc>
          <w:tcPr>
            <w:tcW w:type="dxa" w:w="2160"/>
          </w:tcPr>
          <w:p>
            <w:r>
              <w:t>1 800 000</w:t>
            </w:r>
          </w:p>
        </w:tc>
        <w:tc>
          <w:tcPr>
            <w:tcW w:type="dxa" w:w="2160"/>
          </w:tcPr>
          <w:p>
            <w:r>
              <w:t>1 420 000</w:t>
            </w:r>
          </w:p>
        </w:tc>
        <w:tc>
          <w:tcPr>
            <w:tcW w:type="dxa" w:w="2160"/>
          </w:tcPr>
          <w:p>
            <w:r>
              <w:t>11 814 000</w:t>
            </w:r>
          </w:p>
        </w:tc>
      </w:tr>
      <w:tr>
        <w:tc>
          <w:tcPr>
            <w:tcW w:type="dxa" w:w="2160"/>
          </w:tcPr>
          <w:p>
            <w:r>
              <w:t>v43 (19–23 okt)</w:t>
            </w:r>
          </w:p>
        </w:tc>
        <w:tc>
          <w:tcPr>
            <w:tcW w:type="dxa" w:w="2160"/>
          </w:tcPr>
          <w:p>
            <w:r>
              <w:t>1 900 000</w:t>
            </w:r>
          </w:p>
        </w:tc>
        <w:tc>
          <w:tcPr>
            <w:tcW w:type="dxa" w:w="2160"/>
          </w:tcPr>
          <w:p>
            <w:r>
              <w:t>1 380 000</w:t>
            </w:r>
          </w:p>
        </w:tc>
        <w:tc>
          <w:tcPr>
            <w:tcW w:type="dxa" w:w="2160"/>
          </w:tcPr>
          <w:p>
            <w:r>
              <w:t>12 334 000</w:t>
            </w:r>
          </w:p>
        </w:tc>
      </w:tr>
      <w:tr>
        <w:tc>
          <w:tcPr>
            <w:tcW w:type="dxa" w:w="2160"/>
          </w:tcPr>
          <w:p>
            <w:r>
              <w:t>v44 (26–30 okt)</w:t>
            </w:r>
          </w:p>
        </w:tc>
        <w:tc>
          <w:tcPr>
            <w:tcW w:type="dxa" w:w="2160"/>
          </w:tcPr>
          <w:p>
            <w:r>
              <w:t>1 750 000</w:t>
            </w:r>
          </w:p>
        </w:tc>
        <w:tc>
          <w:tcPr>
            <w:tcW w:type="dxa" w:w="2160"/>
          </w:tcPr>
          <w:p>
            <w:r>
              <w:t>1 450 000</w:t>
            </w:r>
          </w:p>
        </w:tc>
        <w:tc>
          <w:tcPr>
            <w:tcW w:type="dxa" w:w="2160"/>
          </w:tcPr>
          <w:p>
            <w:r>
              <w:t>12 634 000</w:t>
            </w:r>
          </w:p>
        </w:tc>
      </w:tr>
      <w:tr>
        <w:tc>
          <w:tcPr>
            <w:tcW w:type="dxa" w:w="2160"/>
          </w:tcPr>
          <w:p>
            <w:r>
              <w:t>v45–v48 (nov)</w:t>
            </w:r>
          </w:p>
        </w:tc>
        <w:tc>
          <w:tcPr>
            <w:tcW w:type="dxa" w:w="2160"/>
          </w:tcPr>
          <w:p>
            <w:r>
              <w:t>7 200 000</w:t>
            </w:r>
          </w:p>
        </w:tc>
        <w:tc>
          <w:tcPr>
            <w:tcW w:type="dxa" w:w="2160"/>
          </w:tcPr>
          <w:p>
            <w:r>
              <w:t>6 100 000</w:t>
            </w:r>
          </w:p>
        </w:tc>
        <w:tc>
          <w:tcPr>
            <w:tcW w:type="dxa" w:w="2160"/>
          </w:tcPr>
          <w:p>
            <w:r>
              <w:t>13 734 000</w:t>
            </w:r>
          </w:p>
        </w:tc>
      </w:tr>
      <w:tr>
        <w:tc>
          <w:tcPr>
            <w:tcW w:type="dxa" w:w="2160"/>
          </w:tcPr>
          <w:p>
            <w:r>
              <w:t>v49–v52 (dec)</w:t>
            </w:r>
          </w:p>
        </w:tc>
        <w:tc>
          <w:tcPr>
            <w:tcW w:type="dxa" w:w="2160"/>
          </w:tcPr>
          <w:p>
            <w:r>
              <w:t>6 800 000</w:t>
            </w:r>
          </w:p>
        </w:tc>
        <w:tc>
          <w:tcPr>
            <w:tcW w:type="dxa" w:w="2160"/>
          </w:tcPr>
          <w:p>
            <w:r>
              <w:t>6 900 000</w:t>
            </w:r>
          </w:p>
        </w:tc>
        <w:tc>
          <w:tcPr>
            <w:tcW w:type="dxa" w:w="2160"/>
          </w:tcPr>
          <w:p>
            <w:r>
              <w:t>13 634 000</w:t>
            </w:r>
          </w:p>
        </w:tc>
      </w:tr>
    </w:tbl>
    <w:p>
      <w:r>
        <w:rPr>
          <w:b w:val="0"/>
          <w:i w:val="0"/>
        </w:rPr>
        <w:t>Antaganden: SEAB betalar enligt 30 dagar; Blåklintens Vård och Stormvindens Logistik antas betala 30–45 dagar sent; skattebetalning 1 437 700 kr i december; inga större investeringar under perioden.</w:t>
      </w:r>
    </w:p>
    <w:p>
      <w:r>
        <w:rPr>
          <w:b w:val="0"/>
          <w:i w:val="0"/>
        </w:rPr>
        <w:t>Covenants: Q4-rapport till banken senast 2026-11-15 (soliditet, EBITDA). Checkkrediten (3 MSEK) förväntas inte behöva utnyttjas.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