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3/2025</w:t>
      </w:r>
    </w:p>
    <w:p>
      <w:r>
        <w:rPr>
          <w:b/>
        </w:rPr>
        <w:t xml:space="preserve">Sammanträdesdatum: </w:t>
      </w:r>
      <w:r>
        <w:rPr>
          <w:b w:val="0"/>
        </w:rPr>
        <w:t>19 maj 2025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 och dagordningen godkändes.</w:t>
      </w:r>
    </w:p>
    <w:p>
      <w:r>
        <w:rPr>
          <w:b w:val="0"/>
          <w:i w:val="0"/>
        </w:rPr>
        <w:t>§ 2 Kvartalsrapport Q2 (januari–mars 2025)</w:t>
      </w:r>
    </w:p>
    <w:p>
      <w:r>
        <w:rPr>
          <w:b w:val="0"/>
          <w:i w:val="0"/>
        </w:rPr>
        <w:t>CFO presenterade kvartalsrapporten. Nettoomsättningen uppgick till 10,3 MSEK med förbättrat resultat. Checkräkningskrediten utnyttjades som mest med 1 180 000 kr i mars. Styrelsen godkände rapporten.</w:t>
      </w:r>
    </w:p>
    <w:p>
      <w:r>
        <w:rPr>
          <w:b w:val="0"/>
          <w:i w:val="0"/>
        </w:rPr>
        <w:t>§ 3 Kundkoncentration</w:t>
      </w:r>
    </w:p>
    <w:p>
      <w:r>
        <w:rPr>
          <w:b w:val="0"/>
          <w:i w:val="0"/>
        </w:rPr>
        <w:t>Skogsbygdens Energi AB (SEAB) svarade för 30 % av omsättningen under kvartalet. Styrelsen diskuterade beroendet och beslutade att ledningen vid varje styrelsemöte ska redovisa SEAB:s andel samt pågående spridningsåtgärder.</w:t>
      </w:r>
    </w:p>
    <w:p>
      <w:r>
        <w:rPr>
          <w:b w:val="0"/>
          <w:i w:val="0"/>
        </w:rPr>
        <w:t>§ 4 Teckningsoptionsprogram</w:t>
      </w:r>
    </w:p>
    <w:p>
      <w:r>
        <w:rPr>
          <w:b w:val="0"/>
          <w:i w:val="0"/>
        </w:rPr>
        <w:t>Beslut: Styrelsen beslutar att inrätta ett teckningsoptionsprogram motsvarande 3 % av aktierna för nyckelpersoner (Maja Lindqvist, Jonas Sandberg, Anders Bergström). Villkor och tilldelning fastställs av styrelsen senare under året; värdering utförs enligt Black &amp; Scholes.</w:t>
      </w:r>
    </w:p>
    <w:p>
      <w:r>
        <w:rPr>
          <w:b w:val="0"/>
          <w:i w:val="0"/>
        </w:rPr>
        <w:t>§ 5 Rekrytering</w:t>
      </w:r>
    </w:p>
    <w:p>
      <w:r>
        <w:rPr>
          <w:b w:val="0"/>
          <w:i w:val="0"/>
        </w:rPr>
        <w:t>Leveranschefen flaggade kapacitetsbrist i maj–juni (beläggning över 95 %). Styrelsen beslutade att prioritera rekrytering av DevOps och utvecklare samt öka användningen av underkonsulter.</w:t>
      </w:r>
    </w:p>
    <w:p>
      <w:r>
        <w:rPr>
          <w:b w:val="0"/>
          <w:i w:val="0"/>
        </w:rPr>
        <w:t>§ 6 Beslutsuppföljning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Beslut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Månatlig likviditetsprognos (2025-02-10)</w:t>
            </w:r>
          </w:p>
        </w:tc>
        <w:tc>
          <w:tcPr>
            <w:tcW w:type="dxa" w:w="4320"/>
          </w:tcPr>
          <w:p>
            <w:r>
              <w:t>Genomfört</w:t>
            </w:r>
          </w:p>
        </w:tc>
      </w:tr>
      <w:tr>
        <w:tc>
          <w:tcPr>
            <w:tcW w:type="dxa" w:w="4320"/>
          </w:tcPr>
          <w:p>
            <w:r>
              <w:t>Rättslig bedömning konkurrensklausul Gustav Pettersson</w:t>
            </w:r>
          </w:p>
        </w:tc>
        <w:tc>
          <w:tcPr>
            <w:tcW w:type="dxa" w:w="4320"/>
          </w:tcPr>
          <w:p>
            <w:r>
              <w:t>Pågående</w:t>
            </w:r>
          </w:p>
        </w:tc>
      </w:tr>
      <w:tr>
        <w:tc>
          <w:tcPr>
            <w:tcW w:type="dxa" w:w="4320"/>
          </w:tcPr>
          <w:p>
            <w:r>
              <w:t>Utvärdering av CRM-alternativ (från 2024-11-21)</w:t>
            </w:r>
          </w:p>
        </w:tc>
        <w:tc>
          <w:tcPr>
            <w:tcW w:type="dxa" w:w="4320"/>
          </w:tcPr>
          <w:p>
            <w:r>
              <w:t>Ej påbörjad</w:t>
            </w:r>
          </w:p>
        </w:tc>
      </w:tr>
    </w:tbl>
    <w:p>
      <w:r>
        <w:rPr>
          <w:b w:val="0"/>
          <w:i w:val="0"/>
        </w:rPr>
        <w:t>§ 7 Mötets avslutande</w:t>
      </w:r>
    </w:p>
    <w:p>
      <w:r>
        <w:rPr>
          <w:b w:val="0"/>
          <w:i w:val="0"/>
        </w:rPr>
        <w:t>Mötet avslutades kl. 16.05.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