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Projektstatusrapport – SE-Billing (inför slutleverans)</w:t>
      </w:r>
    </w:p>
    <w:p>
      <w:r>
        <w:rPr>
          <w:b/>
        </w:rPr>
        <w:t xml:space="preserve">Datum: </w:t>
      </w:r>
      <w:r>
        <w:rPr>
          <w:b w:val="0"/>
        </w:rPr>
        <w:t>2026-07-10</w:t>
      </w:r>
    </w:p>
    <w:p>
      <w:r>
        <w:rPr>
          <w:b/>
        </w:rPr>
        <w:t xml:space="preserve">Upprättad av: </w:t>
      </w:r>
      <w:r>
        <w:rPr>
          <w:b w:val="0"/>
        </w:rPr>
        <w:t>David Ekström, projektledare</w:t>
      </w:r>
    </w:p>
    <w:p>
      <w:r>
        <w:rPr>
          <w:b/>
        </w:rPr>
        <w:t xml:space="preserve">Dokument-ID: </w:t>
      </w:r>
      <w:r>
        <w:rPr>
          <w:b w:val="0"/>
        </w:rPr>
        <w:t>DOC-PRJ-004</w:t>
      </w:r>
    </w:p>
    <w:p>
      <w:r>
        <w:rPr>
          <w:b w:val="0"/>
          <w:i w:val="0"/>
        </w:rPr>
      </w:r>
    </w:p>
    <w:p>
      <w:r>
        <w:rPr>
          <w:b/>
        </w:rPr>
        <w:t xml:space="preserve">Kund: </w:t>
      </w:r>
      <w:r>
        <w:rPr>
          <w:b w:val="0"/>
        </w:rPr>
        <w:t>Skogsbygdens Energi AB (PRJ-001)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Fält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Värde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GRÖN – slutleverans 2026-07-15</w:t>
            </w:r>
          </w:p>
        </w:tc>
      </w:tr>
      <w:tr>
        <w:tc>
          <w:tcPr>
            <w:tcW w:type="dxa" w:w="4320"/>
          </w:tcPr>
          <w:p>
            <w:r>
              <w:t>Slutleverans</w:t>
            </w:r>
          </w:p>
        </w:tc>
        <w:tc>
          <w:tcPr>
            <w:tcW w:type="dxa" w:w="4320"/>
          </w:tcPr>
          <w:p>
            <w:r>
              <w:t>2026-07-15</w:t>
            </w:r>
          </w:p>
        </w:tc>
      </w:tr>
      <w:tr>
        <w:tc>
          <w:tcPr>
            <w:tcW w:type="dxa" w:w="4320"/>
          </w:tcPr>
          <w:p>
            <w:r>
              <w:t>Acceptanstest</w:t>
            </w:r>
          </w:p>
        </w:tc>
        <w:tc>
          <w:tcPr>
            <w:tcW w:type="dxa" w:w="4320"/>
          </w:tcPr>
          <w:p>
            <w:r>
              <w:t>Godkänt 2026-07-09</w:t>
            </w:r>
          </w:p>
        </w:tc>
      </w:tr>
      <w:tr>
        <w:tc>
          <w:tcPr>
            <w:tcW w:type="dxa" w:w="4320"/>
          </w:tcPr>
          <w:p>
            <w:r>
              <w:t>Slutmilstolpe</w:t>
            </w:r>
          </w:p>
        </w:tc>
        <w:tc>
          <w:tcPr>
            <w:tcW w:type="dxa" w:w="4320"/>
          </w:tcPr>
          <w:p>
            <w:r>
              <w:t>800 000 kr faktureras vid godkänd slutleverans</w:t>
            </w:r>
          </w:p>
        </w:tc>
      </w:tr>
    </w:tbl>
    <w:p>
      <w:r>
        <w:rPr>
          <w:b/>
          <w:i w:val="0"/>
        </w:rPr>
        <w:t>Återstående</w:t>
      </w:r>
    </w:p>
    <w:p>
      <w:r>
        <w:rPr>
          <w:b w:val="0"/>
          <w:i w:val="0"/>
        </w:rPr>
        <w:t>Överlämning av dokumentation, utbildning av SEAB:s driftteam.</w:t>
      </w:r>
    </w:p>
    <w:p>
      <w:r>
        <w:rPr>
          <w:b/>
          <w:i w:val="0"/>
        </w:rPr>
        <w:t>Notering</w:t>
      </w:r>
    </w:p>
    <w:p>
      <w:r>
        <w:rPr>
          <w:b w:val="0"/>
          <w:i w:val="0"/>
        </w:rPr>
        <w:t>Projektet avslutas formellt 2026-07-15 med slutrapport (DOC-PRJ-030).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