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Datainsikt AB</w:t>
      </w:r>
    </w:p>
    <w:p>
      <w:r>
        <w:rPr>
          <w:b/>
        </w:rPr>
        <w:t xml:space="preserve">Datum: </w:t>
      </w:r>
      <w:r>
        <w:rPr>
          <w:b w:val="0"/>
        </w:rPr>
        <w:t>2023-09-15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DOC-SUP-007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Analysverktyg</w:t>
            </w:r>
          </w:p>
        </w:tc>
        <w:tc>
          <w:tcPr>
            <w:tcW w:type="dxa" w:w="4320"/>
          </w:tcPr>
          <w:p>
            <w:r>
              <w:t>10 licenser varav 2 används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2023-09-01</w:t>
            </w:r>
          </w:p>
        </w:tc>
      </w:tr>
      <w:tr>
        <w:tc>
          <w:tcPr>
            <w:tcW w:type="dxa" w:w="4320"/>
          </w:tcPr>
          <w:p>
            <w:r>
              <w:t>Notering</w:t>
            </w:r>
          </w:p>
        </w:tc>
        <w:tc>
          <w:tcPr>
            <w:tcW w:type="dxa" w:w="4320"/>
          </w:tcPr>
          <w:p>
            <w:r>
              <w:t>Överlappar med Analytics Cloud; ses över i licensinventeringen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Låg – godkänd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