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Medarbetarundersökning 2025 – resultat och åtgärder</w:t>
      </w:r>
    </w:p>
    <w:p>
      <w:r>
        <w:rPr>
          <w:b/>
        </w:rPr>
        <w:t xml:space="preserve">Datum: </w:t>
      </w:r>
      <w:r>
        <w:rPr>
          <w:b w:val="0"/>
        </w:rPr>
        <w:t>2025-11-14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DOC-EMP-001</w:t>
      </w:r>
    </w:p>
    <w:p>
      <w:r>
        <w:rPr>
          <w:b w:val="0"/>
          <w:i w:val="0"/>
        </w:rPr>
      </w:r>
    </w:p>
    <w:p>
      <w:r>
        <w:rPr>
          <w:b/>
        </w:rPr>
        <w:t xml:space="preserve">Svarsfrekvens: </w:t>
      </w:r>
      <w:r>
        <w:rPr>
          <w:b w:val="0"/>
        </w:rPr>
        <w:t>84 % (26 av 31 medarbetare)</w:t>
      </w:r>
    </w:p>
    <w:p>
      <w:r>
        <w:rPr>
          <w:b/>
        </w:rPr>
        <w:t xml:space="preserve">eNPS: </w:t>
      </w:r>
      <w:r>
        <w:rPr>
          <w:b w:val="0"/>
        </w:rPr>
        <w:t>18</w:t>
      </w:r>
    </w:p>
    <w:p>
      <w:r>
        <w:rPr>
          <w:b w:val="0"/>
          <w:i w:val="0"/>
        </w:rPr>
        <w:t>Huvudteman i fritextsvaren: (1) arbetsbelastningen i leveransteamet, (2) otydliga karriärvägar, (3) verktygs- och systemfrustration, (4) önskemål om mer feedback från chefer.</w:t>
      </w:r>
    </w:p>
    <w:p>
      <w:r>
        <w:rPr>
          <w:b/>
          <w:i w:val="0"/>
        </w:rPr>
        <w:t>Åtgärdslista (beslutad av ledningsgruppen 2025-12-01)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Ägare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Klart senast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 2026-10</w:t>
            </w:r>
          </w:p>
        </w:tc>
      </w:tr>
      <w:tr>
        <w:tc>
          <w:tcPr>
            <w:tcW w:type="dxa" w:w="2160"/>
          </w:tcPr>
          <w:p>
            <w:r>
              <w:t>Övertidsöversyn och beläggningsmål per team</w:t>
            </w:r>
          </w:p>
        </w:tc>
        <w:tc>
          <w:tcPr>
            <w:tcW w:type="dxa" w:w="2160"/>
          </w:tcPr>
          <w:p>
            <w:r>
              <w:t>Erik Norén</w:t>
            </w:r>
          </w:p>
        </w:tc>
        <w:tc>
          <w:tcPr>
            <w:tcW w:type="dxa" w:w="2160"/>
          </w:tcPr>
          <w:p>
            <w:r>
              <w:t>2026-03-31</w:t>
            </w:r>
          </w:p>
        </w:tc>
        <w:tc>
          <w:tcPr>
            <w:tcW w:type="dxa" w:w="2160"/>
          </w:tcPr>
          <w:p>
            <w:r>
              <w:t>Öppen</w:t>
            </w:r>
          </w:p>
        </w:tc>
      </w:tr>
      <w:tr>
        <w:tc>
          <w:tcPr>
            <w:tcW w:type="dxa" w:w="2160"/>
          </w:tcPr>
          <w:p>
            <w:r>
              <w:t>Karriärramverk med två spår (specialist/ledare)</w:t>
            </w:r>
          </w:p>
        </w:tc>
        <w:tc>
          <w:tcPr>
            <w:tcW w:type="dxa" w:w="2160"/>
          </w:tcPr>
          <w:p>
            <w:r>
              <w:t>Petra Wahlgren</w:t>
            </w:r>
          </w:p>
        </w:tc>
        <w:tc>
          <w:tcPr>
            <w:tcW w:type="dxa" w:w="2160"/>
          </w:tcPr>
          <w:p>
            <w:r>
              <w:t>2026-06-30</w:t>
            </w:r>
          </w:p>
        </w:tc>
        <w:tc>
          <w:tcPr>
            <w:tcW w:type="dxa" w:w="2160"/>
          </w:tcPr>
          <w:p>
            <w:r>
              <w:t>Öppen</w:t>
            </w:r>
          </w:p>
        </w:tc>
      </w:tr>
      <w:tr>
        <w:tc>
          <w:tcPr>
            <w:tcW w:type="dxa" w:w="2160"/>
          </w:tcPr>
          <w:p>
            <w:r>
              <w:t>Förbättra utvecklingsverktygen (CI/CD, testmiljöer)</w:t>
            </w:r>
          </w:p>
        </w:tc>
        <w:tc>
          <w:tcPr>
            <w:tcW w:type="dxa" w:w="2160"/>
          </w:tcPr>
          <w:p>
            <w:r>
              <w:t>Jonas Sandberg</w:t>
            </w:r>
          </w:p>
        </w:tc>
        <w:tc>
          <w:tcPr>
            <w:tcW w:type="dxa" w:w="2160"/>
          </w:tcPr>
          <w:p>
            <w:r>
              <w:t>2026-02-28</w:t>
            </w:r>
          </w:p>
        </w:tc>
        <w:tc>
          <w:tcPr>
            <w:tcW w:type="dxa" w:w="2160"/>
          </w:tcPr>
          <w:p>
            <w:r>
              <w:t>Genomförd</w:t>
            </w:r>
          </w:p>
        </w:tc>
      </w:tr>
      <w:tr>
        <w:tc>
          <w:tcPr>
            <w:tcW w:type="dxa" w:w="2160"/>
          </w:tcPr>
          <w:p>
            <w:r>
              <w:t>Ledarskapsutbildning för projektledare</w:t>
            </w:r>
          </w:p>
        </w:tc>
        <w:tc>
          <w:tcPr>
            <w:tcW w:type="dxa" w:w="2160"/>
          </w:tcPr>
          <w:p>
            <w:r>
              <w:t>Petra Wahlgren</w:t>
            </w:r>
          </w:p>
        </w:tc>
        <w:tc>
          <w:tcPr>
            <w:tcW w:type="dxa" w:w="2160"/>
          </w:tcPr>
          <w:p>
            <w:r>
              <w:t>2026-05-31</w:t>
            </w:r>
          </w:p>
        </w:tc>
        <w:tc>
          <w:tcPr>
            <w:tcW w:type="dxa" w:w="2160"/>
          </w:tcPr>
          <w:p>
            <w:r>
              <w:t>Öppen</w:t>
            </w:r>
          </w:p>
        </w:tc>
      </w:tr>
      <w:tr>
        <w:tc>
          <w:tcPr>
            <w:tcW w:type="dxa" w:w="2160"/>
          </w:tcPr>
          <w:p>
            <w:r>
              <w:t>Friskvårdsbidrag 4 000 kr/år infört</w:t>
            </w:r>
          </w:p>
        </w:tc>
        <w:tc>
          <w:tcPr>
            <w:tcW w:type="dxa" w:w="2160"/>
          </w:tcPr>
          <w:p>
            <w:r>
              <w:t>Petra Wahlgren</w:t>
            </w:r>
          </w:p>
        </w:tc>
        <w:tc>
          <w:tcPr>
            <w:tcW w:type="dxa" w:w="2160"/>
          </w:tcPr>
          <w:p>
            <w:r>
              <w:t>2026-01-01</w:t>
            </w:r>
          </w:p>
        </w:tc>
        <w:tc>
          <w:tcPr>
            <w:tcW w:type="dxa" w:w="2160"/>
          </w:tcPr>
          <w:p>
            <w:r>
              <w:t>Genomförd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