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Sjukfrånvarorapport FY2025 (2024-10-01 – 2025-09-30)</w:t>
      </w:r>
    </w:p>
    <w:p>
      <w:r>
        <w:rPr>
          <w:b/>
        </w:rPr>
        <w:t xml:space="preserve">Datum: </w:t>
      </w:r>
      <w:r>
        <w:rPr>
          <w:b w:val="0"/>
        </w:rPr>
        <w:t>2025-11-03</w:t>
      </w:r>
    </w:p>
    <w:p>
      <w:r>
        <w:rPr>
          <w:b/>
        </w:rPr>
        <w:t xml:space="preserve">Upprättad av: </w:t>
      </w:r>
      <w:r>
        <w:rPr>
          <w:b w:val="0"/>
        </w:rPr>
        <w:t>P-004</w:t>
      </w:r>
    </w:p>
    <w:p>
      <w:r>
        <w:rPr>
          <w:b/>
        </w:rPr>
        <w:t xml:space="preserve">Version: </w:t>
      </w:r>
      <w:r>
        <w:rPr>
          <w:b w:val="0"/>
        </w:rPr>
        <w:t>1.0</w:t>
      </w:r>
    </w:p>
    <w:p>
      <w:r>
        <w:rPr>
          <w:b/>
        </w:rPr>
        <w:t xml:space="preserve">Dokument-ID: </w:t>
      </w:r>
      <w:r>
        <w:rPr>
          <w:b w:val="0"/>
        </w:rPr>
        <w:t>DOC-EMP-004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Total sjukfrånvaro under FY25 uppgick till 4,2 % av ordinarie arbetstid.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Kvartal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Leverans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Stab/ledning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Totalt</w:t>
            </w:r>
          </w:p>
        </w:tc>
      </w:tr>
      <w:tr>
        <w:tc>
          <w:tcPr>
            <w:tcW w:type="dxa" w:w="2160"/>
          </w:tcPr>
          <w:p>
            <w:r>
              <w:t>Q1 (okt–dec)</w:t>
            </w:r>
          </w:p>
        </w:tc>
        <w:tc>
          <w:tcPr>
            <w:tcW w:type="dxa" w:w="2160"/>
          </w:tcPr>
          <w:p>
            <w:r>
              <w:t>4,9 %</w:t>
            </w:r>
          </w:p>
        </w:tc>
        <w:tc>
          <w:tcPr>
            <w:tcW w:type="dxa" w:w="2160"/>
          </w:tcPr>
          <w:p>
            <w:r>
              <w:t>2,4 %</w:t>
            </w:r>
          </w:p>
        </w:tc>
        <w:tc>
          <w:tcPr>
            <w:tcW w:type="dxa" w:w="2160"/>
          </w:tcPr>
          <w:p>
            <w:r>
              <w:t>4,3 %</w:t>
            </w:r>
          </w:p>
        </w:tc>
      </w:tr>
      <w:tr>
        <w:tc>
          <w:tcPr>
            <w:tcW w:type="dxa" w:w="2160"/>
          </w:tcPr>
          <w:p>
            <w:r>
              <w:t>Q2 (jan–mar)</w:t>
            </w:r>
          </w:p>
        </w:tc>
        <w:tc>
          <w:tcPr>
            <w:tcW w:type="dxa" w:w="2160"/>
          </w:tcPr>
          <w:p>
            <w:r>
              <w:t>5,6 %</w:t>
            </w:r>
          </w:p>
        </w:tc>
        <w:tc>
          <w:tcPr>
            <w:tcW w:type="dxa" w:w="2160"/>
          </w:tcPr>
          <w:p>
            <w:r>
              <w:t>2,8 %</w:t>
            </w:r>
          </w:p>
        </w:tc>
        <w:tc>
          <w:tcPr>
            <w:tcW w:type="dxa" w:w="2160"/>
          </w:tcPr>
          <w:p>
            <w:r>
              <w:t>4,9 %</w:t>
            </w:r>
          </w:p>
        </w:tc>
      </w:tr>
      <w:tr>
        <w:tc>
          <w:tcPr>
            <w:tcW w:type="dxa" w:w="2160"/>
          </w:tcPr>
          <w:p>
            <w:r>
              <w:t>Q3 (apr–jun)</w:t>
            </w:r>
          </w:p>
        </w:tc>
        <w:tc>
          <w:tcPr>
            <w:tcW w:type="dxa" w:w="2160"/>
          </w:tcPr>
          <w:p>
            <w:r>
              <w:t>4,4 %</w:t>
            </w:r>
          </w:p>
        </w:tc>
        <w:tc>
          <w:tcPr>
            <w:tcW w:type="dxa" w:w="2160"/>
          </w:tcPr>
          <w:p>
            <w:r>
              <w:t>3,0 %</w:t>
            </w:r>
          </w:p>
        </w:tc>
        <w:tc>
          <w:tcPr>
            <w:tcW w:type="dxa" w:w="2160"/>
          </w:tcPr>
          <w:p>
            <w:r>
              <w:t>4,0 %</w:t>
            </w:r>
          </w:p>
        </w:tc>
      </w:tr>
      <w:tr>
        <w:tc>
          <w:tcPr>
            <w:tcW w:type="dxa" w:w="2160"/>
          </w:tcPr>
          <w:p>
            <w:r>
              <w:t>Q4 (jul–sep)</w:t>
            </w:r>
          </w:p>
        </w:tc>
        <w:tc>
          <w:tcPr>
            <w:tcW w:type="dxa" w:w="2160"/>
          </w:tcPr>
          <w:p>
            <w:r>
              <w:t>4,2 %</w:t>
            </w:r>
          </w:p>
        </w:tc>
        <w:tc>
          <w:tcPr>
            <w:tcW w:type="dxa" w:w="2160"/>
          </w:tcPr>
          <w:p>
            <w:r>
              <w:t>3,4 %</w:t>
            </w:r>
          </w:p>
        </w:tc>
        <w:tc>
          <w:tcPr>
            <w:tcW w:type="dxa" w:w="2160"/>
          </w:tcPr>
          <w:p>
            <w:r>
              <w:t>3,8 %</w:t>
            </w:r>
          </w:p>
        </w:tc>
      </w:tr>
      <w:tr>
        <w:tc>
          <w:tcPr>
            <w:tcW w:type="dxa" w:w="2160"/>
          </w:tcPr>
          <w:p>
            <w:r>
              <w:t>Helår</w:t>
            </w:r>
          </w:p>
        </w:tc>
        <w:tc>
          <w:tcPr>
            <w:tcW w:type="dxa" w:w="2160"/>
          </w:tcPr>
          <w:p>
            <w:r>
              <w:t>4,8 %</w:t>
            </w:r>
          </w:p>
        </w:tc>
        <w:tc>
          <w:tcPr>
            <w:tcW w:type="dxa" w:w="2160"/>
          </w:tcPr>
          <w:p>
            <w:r>
              <w:t>2,9 %</w:t>
            </w:r>
          </w:p>
        </w:tc>
        <w:tc>
          <w:tcPr>
            <w:tcW w:type="dxa" w:w="2160"/>
          </w:tcPr>
          <w:p>
            <w:r>
              <w:t>4,2 %</w:t>
            </w:r>
          </w:p>
        </w:tc>
      </w:tr>
    </w:tbl>
    <w:p>
      <w:r>
        <w:rPr>
          <w:b w:val="0"/>
          <w:i w:val="0"/>
        </w:rPr>
        <w:t>Korttidsfrånvaro (1–14 dagar) står för 60 % av frånvaron i leveransteamet.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