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SIN-2024-0002-IB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2024-10-10</w:t>
      </w:r>
    </w:p>
    <w:p>
      <w:r>
        <w:rPr>
          <w:b/>
        </w:rPr>
        <w:t xml:space="preserve">Avser: </w:t>
      </w:r>
      <w:r>
        <w:rPr>
          <w:b w:val="0"/>
        </w:rPr>
        <w:t>Lokalhyra september (ingående skuld)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 september (ingående skuld)</w:t>
            </w:r>
          </w:p>
        </w:tc>
        <w:tc>
          <w:tcPr>
            <w:tcW w:type="dxa" w:w="2160"/>
          </w:tcPr>
          <w:p>
            <w:r>
              <w:t>132 000,00</w:t>
            </w:r>
          </w:p>
        </w:tc>
        <w:tc>
          <w:tcPr>
            <w:tcW w:type="dxa" w:w="2160"/>
          </w:tcPr>
          <w:p>
            <w:r>
              <w:t>33 000,00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</w:tr>
    </w:tbl>
    <w:p>
      <w:pPr>
        <w:jc w:val="right"/>
      </w:pPr>
      <w:r>
        <w:rPr>
          <w:b/>
        </w:rPr>
        <w:t>ATT BETALA: 165 000,00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