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SIN-2025-0102</w:t>
      </w:r>
    </w:p>
    <w:p>
      <w:r>
        <w:rPr>
          <w:b/>
        </w:rPr>
        <w:t xml:space="preserve">Fakturadatum: </w:t>
      </w:r>
      <w:r>
        <w:rPr>
          <w:b w:val="0"/>
        </w:rPr>
        <w:t>2025-03-15</w:t>
      </w:r>
    </w:p>
    <w:p>
      <w:r>
        <w:rPr>
          <w:b/>
        </w:rPr>
        <w:t xml:space="preserve">Förfallodatum: </w:t>
      </w:r>
      <w:r>
        <w:rPr>
          <w:b w:val="0"/>
        </w:rPr>
        <w:t>2025-04-14</w:t>
      </w:r>
    </w:p>
    <w:p>
      <w:r>
        <w:rPr>
          <w:b/>
        </w:rPr>
        <w:t xml:space="preserve">Avser: </w:t>
      </w:r>
      <w:r>
        <w:rPr>
          <w:b w:val="0"/>
        </w:rPr>
        <w:t>Servrar och nätverksutrustning (aktiveras)</w:t>
      </w:r>
    </w:p>
    <w:p>
      <w:r>
        <w:rPr>
          <w:b/>
        </w:rPr>
        <w:t xml:space="preserve">Konto: </w:t>
      </w:r>
      <w:r>
        <w:rPr>
          <w:b w:val="0"/>
        </w:rPr>
        <w:t>1250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Servrar och nätverksutrustning (aktiveras)</w:t>
            </w:r>
          </w:p>
        </w:tc>
        <w:tc>
          <w:tcPr>
            <w:tcW w:type="dxa" w:w="2160"/>
          </w:tcPr>
          <w:p>
            <w:r>
              <w:t>480 000,00</w:t>
            </w:r>
          </w:p>
        </w:tc>
        <w:tc>
          <w:tcPr>
            <w:tcW w:type="dxa" w:w="2160"/>
          </w:tcPr>
          <w:p>
            <w:r>
              <w:t>120 000,00</w:t>
            </w:r>
          </w:p>
        </w:tc>
        <w:tc>
          <w:tcPr>
            <w:tcW w:type="dxa" w:w="2160"/>
          </w:tcPr>
          <w:p>
            <w:r>
              <w:t>600 000,00</w:t>
            </w:r>
          </w:p>
        </w:tc>
      </w:tr>
    </w:tbl>
    <w:p>
      <w:pPr>
        <w:jc w:val="right"/>
      </w:pPr>
      <w:r>
        <w:rPr>
          <w:b/>
        </w:rPr>
        <w:t>ATT BETALA: 600 000,00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