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Agila Verktyg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SIN-2026-0154</w:t>
      </w:r>
    </w:p>
    <w:p>
      <w:r>
        <w:rPr>
          <w:b/>
        </w:rPr>
        <w:t xml:space="preserve">Fakturadatum: </w:t>
      </w:r>
      <w:r>
        <w:rPr>
          <w:b w:val="0"/>
        </w:rPr>
        <w:t>2026-05-04</w:t>
      </w:r>
    </w:p>
    <w:p>
      <w:r>
        <w:rPr>
          <w:b/>
        </w:rPr>
        <w:t xml:space="preserve">Förfallodatum: </w:t>
      </w:r>
      <w:r>
        <w:rPr>
          <w:b w:val="0"/>
        </w:rPr>
        <w:t>2026-06-03</w:t>
      </w:r>
    </w:p>
    <w:p>
      <w:r>
        <w:rPr>
          <w:b/>
        </w:rPr>
        <w:t xml:space="preserve">Avser: </w:t>
      </w:r>
      <w:r>
        <w:rPr>
          <w:b w:val="0"/>
        </w:rPr>
        <w:t>Ärendehantering och wiki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Ärendehantering och wiki</w:t>
            </w:r>
          </w:p>
        </w:tc>
        <w:tc>
          <w:tcPr>
            <w:tcW w:type="dxa" w:w="2160"/>
          </w:tcPr>
          <w:p>
            <w:r>
              <w:t>14 500,00</w:t>
            </w:r>
          </w:p>
        </w:tc>
        <w:tc>
          <w:tcPr>
            <w:tcW w:type="dxa" w:w="2160"/>
          </w:tcPr>
          <w:p>
            <w:r>
              <w:t>3 625,00</w:t>
            </w:r>
          </w:p>
        </w:tc>
        <w:tc>
          <w:tcPr>
            <w:tcW w:type="dxa" w:w="2160"/>
          </w:tcPr>
          <w:p>
            <w:r>
              <w:t>18 125,00</w:t>
            </w:r>
          </w:p>
        </w:tc>
      </w:tr>
    </w:tbl>
    <w:p>
      <w:pPr>
        <w:jc w:val="right"/>
      </w:pPr>
      <w:r>
        <w:rPr>
          <w:b/>
        </w:rPr>
        <w:t>ATT BETALA: 18 125,00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