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SIN-2026-0178</w:t>
      </w:r>
    </w:p>
    <w:p>
      <w:r>
        <w:rPr>
          <w:b/>
        </w:rPr>
        <w:t xml:space="preserve">Fakturadatum: </w:t>
      </w:r>
      <w:r>
        <w:rPr>
          <w:b w:val="0"/>
        </w:rPr>
        <w:t>2026-05-21</w:t>
      </w:r>
    </w:p>
    <w:p>
      <w:r>
        <w:rPr>
          <w:b/>
        </w:rPr>
        <w:t xml:space="preserve">Förfallodatum: </w:t>
      </w:r>
      <w:r>
        <w:rPr>
          <w:b w:val="0"/>
        </w:rPr>
        <w:t>2026-06-20</w:t>
      </w:r>
    </w:p>
    <w:p>
      <w:r>
        <w:rPr>
          <w:b/>
        </w:rPr>
        <w:t xml:space="preserve">Avser: </w:t>
      </w:r>
      <w:r>
        <w:rPr>
          <w:b w:val="0"/>
        </w:rPr>
        <w:t>Juridik löpande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Juridik löpande</w:t>
            </w:r>
          </w:p>
        </w:tc>
        <w:tc>
          <w:tcPr>
            <w:tcW w:type="dxa" w:w="2160"/>
          </w:tcPr>
          <w:p>
            <w:r>
              <w:t>15 000,00</w:t>
            </w:r>
          </w:p>
        </w:tc>
        <w:tc>
          <w:tcPr>
            <w:tcW w:type="dxa" w:w="2160"/>
          </w:tcPr>
          <w:p>
            <w:r>
              <w:t>3 750,00</w:t>
            </w:r>
          </w:p>
        </w:tc>
        <w:tc>
          <w:tcPr>
            <w:tcW w:type="dxa" w:w="2160"/>
          </w:tcPr>
          <w:p>
            <w:r>
              <w:t>18 750,00</w:t>
            </w:r>
          </w:p>
        </w:tc>
      </w:tr>
    </w:tbl>
    <w:p>
      <w:pPr>
        <w:jc w:val="right"/>
      </w:pPr>
      <w:r>
        <w:rPr>
          <w:b/>
        </w:rPr>
        <w:t>ATT BETALA: 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