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INV-2025-0401</w:t>
      </w:r>
    </w:p>
    <w:p>
      <w:r>
        <w:rPr>
          <w:b/>
        </w:rPr>
        <w:t xml:space="preserve">Fakturadatum: </w:t>
      </w:r>
      <w:r>
        <w:rPr>
          <w:b w:val="0"/>
        </w:rPr>
        <w:t>2025-11-28</w:t>
      </w:r>
    </w:p>
    <w:p>
      <w:r>
        <w:rPr>
          <w:b/>
        </w:rPr>
        <w:t xml:space="preserve">Förfallodatum: </w:t>
      </w:r>
      <w:r>
        <w:rPr>
          <w:b w:val="0"/>
        </w:rPr>
        <w:t>2025-12-28</w:t>
      </w:r>
    </w:p>
    <w:p>
      <w:r>
        <w:rPr>
          <w:b/>
        </w:rPr>
        <w:t xml:space="preserve">Er referens: </w:t>
      </w:r>
      <w:r>
        <w:rPr>
          <w:b w:val="0"/>
        </w:rPr>
        <w:t>2025-11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Regnbågens Design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2025-11 (23.3 timmar à 1000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23 300,00</w:t>
            </w:r>
          </w:p>
        </w:tc>
        <w:tc>
          <w:tcPr>
            <w:tcW w:type="dxa" w:w="1728"/>
          </w:tcPr>
          <w:p>
            <w:r>
              <w:t>5 825,00</w:t>
            </w:r>
          </w:p>
        </w:tc>
        <w:tc>
          <w:tcPr>
            <w:tcW w:type="dxa" w:w="1728"/>
          </w:tcPr>
          <w:p>
            <w:r>
              <w:t>29 125,00</w:t>
            </w:r>
          </w:p>
        </w:tc>
      </w:tr>
    </w:tbl>
    <w:p>
      <w:pPr>
        <w:jc w:val="right"/>
      </w:pPr>
      <w:r>
        <w:rPr>
          <w:b/>
        </w:rPr>
        <w:t>ATT BETALA: 29 125,00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