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INV-2026-0019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Klockbergets Skola AB</w:t>
      </w:r>
    </w:p>
    <w:p>
      <w:r>
        <w:rPr>
          <w:b w:val="0"/>
          <w:i w:val="0"/>
        </w:rPr>
        <w:t xml:space="preserve">Projekt: P-2430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(80.9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80 091,00</w:t>
            </w:r>
          </w:p>
        </w:tc>
        <w:tc>
          <w:tcPr>
            <w:tcW w:type="dxa" w:w="1728"/>
          </w:tcPr>
          <w:p>
            <w:r>
              <w:t>20 022,75</w:t>
            </w:r>
          </w:p>
        </w:tc>
        <w:tc>
          <w:tcPr>
            <w:tcW w:type="dxa" w:w="1728"/>
          </w:tcPr>
          <w:p>
            <w:r>
              <w:t>100 113,75</w:t>
            </w:r>
          </w:p>
        </w:tc>
      </w:tr>
    </w:tbl>
    <w:p>
      <w:pPr>
        <w:jc w:val="right"/>
      </w:pPr>
      <w:r>
        <w:rPr>
          <w:b/>
        </w:rPr>
        <w:t>ATT BETALA: 100 113,75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