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Aktieägaravtal</w:t>
      </w:r>
    </w:p>
    <w:p>
      <w:r>
        <w:rPr>
          <w:b w:val="0"/>
          <w:i w:val="0"/>
        </w:rPr>
        <w:t>Avtalsnummer: CTR-AKT-001</w:t>
      </w:r>
    </w:p>
    <w:p>
      <w:r>
        <w:rPr>
          <w:b/>
          <w:i w:val="0"/>
        </w:rPr>
        <w:t>Parter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Part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Roll</w:t>
            </w:r>
          </w:p>
        </w:tc>
      </w:tr>
      <w:tr>
        <w:tc>
          <w:tcPr>
            <w:tcW w:type="dxa" w:w="4677"/>
          </w:tcPr>
          <w:p>
            <w:r>
              <w:t>Nordviken Digital AB</w:t>
            </w:r>
          </w:p>
        </w:tc>
        <w:tc>
          <w:tcPr>
            <w:tcW w:type="dxa" w:w="4677"/>
          </w:tcPr>
          <w:p>
            <w:r>
              <w:t>Bolaget</w:t>
            </w:r>
          </w:p>
        </w:tc>
      </w:tr>
      <w:tr>
        <w:tc>
          <w:tcPr>
            <w:tcW w:type="dxa" w:w="4677"/>
          </w:tcPr>
          <w:p>
            <w:r>
              <w:t>Maja Lindqvist</w:t>
            </w:r>
          </w:p>
        </w:tc>
        <w:tc>
          <w:tcPr>
            <w:tcW w:type="dxa" w:w="4677"/>
          </w:tcPr>
          <w:p>
            <w:r>
              <w:t>Ägare</w:t>
            </w:r>
          </w:p>
        </w:tc>
      </w:tr>
      <w:tr>
        <w:tc>
          <w:tcPr>
            <w:tcW w:type="dxa" w:w="4677"/>
          </w:tcPr>
          <w:p>
            <w:r>
              <w:t>Jonas Sandberg</w:t>
            </w:r>
          </w:p>
        </w:tc>
        <w:tc>
          <w:tcPr>
            <w:tcW w:type="dxa" w:w="4677"/>
          </w:tcPr>
          <w:p>
            <w:r>
              <w:t>Ägare</w:t>
            </w:r>
          </w:p>
        </w:tc>
      </w:tr>
      <w:tr>
        <w:tc>
          <w:tcPr>
            <w:tcW w:type="dxa" w:w="4677"/>
          </w:tcPr>
          <w:p>
            <w:r>
              <w:t>Anders Bergström</w:t>
            </w:r>
          </w:p>
        </w:tc>
        <w:tc>
          <w:tcPr>
            <w:tcW w:type="dxa" w:w="4677"/>
          </w:tcPr>
          <w:p>
            <w:r>
              <w:t>Ägare</w:t>
            </w:r>
          </w:p>
        </w:tc>
      </w:tr>
      <w:tr>
        <w:tc>
          <w:tcPr>
            <w:tcW w:type="dxa" w:w="4677"/>
          </w:tcPr>
          <w:p>
            <w:r>
              <w:t>Sara Holm</w:t>
            </w:r>
          </w:p>
        </w:tc>
        <w:tc>
          <w:tcPr>
            <w:tcW w:type="dxa" w:w="4677"/>
          </w:tcPr>
          <w:p>
            <w:r>
              <w:t>Ägare</w:t>
            </w:r>
          </w:p>
        </w:tc>
      </w:tr>
      <w:tr>
        <w:tc>
          <w:tcPr>
            <w:tcW w:type="dxa" w:w="4677"/>
          </w:tcPr>
          <w:p>
            <w:r>
              <w:t>Erik Norén</w:t>
            </w:r>
          </w:p>
        </w:tc>
        <w:tc>
          <w:tcPr>
            <w:tcW w:type="dxa" w:w="4677"/>
          </w:tcPr>
          <w:p>
            <w:r>
              <w:t>Ägare</w:t>
            </w:r>
          </w:p>
        </w:tc>
      </w:tr>
      <w:tr>
        <w:tc>
          <w:tcPr>
            <w:tcW w:type="dxa" w:w="4677"/>
          </w:tcPr>
          <w:p>
            <w:r>
              <w:t>Övriga delägare</w:t>
            </w:r>
          </w:p>
        </w:tc>
        <w:tc>
          <w:tcPr>
            <w:tcW w:type="dxa" w:w="4677"/>
          </w:tcPr>
          <w:p>
            <w:r>
              <w:t>Ägare</w:t>
            </w:r>
          </w:p>
        </w:tc>
      </w:tr>
    </w:tbl>
    <w:p>
      <w:r>
        <w:rPr>
          <w:b/>
          <w:i w:val="0"/>
        </w:rPr>
        <w:t>Bakgrund</w:t>
      </w:r>
    </w:p>
    <w:p>
      <w:r>
        <w:rPr>
          <w:b w:val="0"/>
          <w:i w:val="0"/>
        </w:rPr>
        <w:t>A. Bolaget bedriver konsultverksamhet inom systemutveckling, integration och förvaltning av IT-tjänster.</w:t>
      </w:r>
    </w:p>
    <w:p>
      <w:r>
        <w:rPr>
          <w:b w:val="0"/>
          <w:i w:val="0"/>
        </w:rPr>
        <w:t>B. Ägarna har träffat detta aktieägaravtal för att reglera ägandet i bolaget samt förhållandet mellan ägarna inbördes.</w:t>
      </w:r>
    </w:p>
    <w:p>
      <w:r>
        <w:rPr>
          <w:b w:val="0"/>
          <w:i w:val="0"/>
        </w:rPr>
        <w:t>C. Avtalet ersätter tidigare muntliga överenskommelser mellan ägarna.</w:t>
      </w:r>
    </w:p>
    <w:p>
      <w:pPr>
        <w:pStyle w:val="Heading2"/>
      </w:pPr>
      <w:r>
        <w:t>1. Ägarfördelning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Ägare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Andel</w:t>
            </w:r>
          </w:p>
        </w:tc>
      </w:tr>
      <w:tr>
        <w:tc>
          <w:tcPr>
            <w:tcW w:type="dxa" w:w="4677"/>
          </w:tcPr>
          <w:p>
            <w:r>
              <w:t>Maja Lindqvist</w:t>
            </w:r>
          </w:p>
        </w:tc>
        <w:tc>
          <w:tcPr>
            <w:tcW w:type="dxa" w:w="4677"/>
          </w:tcPr>
          <w:p>
            <w:r>
              <w:t>42 %</w:t>
            </w:r>
          </w:p>
        </w:tc>
      </w:tr>
      <w:tr>
        <w:tc>
          <w:tcPr>
            <w:tcW w:type="dxa" w:w="4677"/>
          </w:tcPr>
          <w:p>
            <w:r>
              <w:t>Jonas Sandberg</w:t>
            </w:r>
          </w:p>
        </w:tc>
        <w:tc>
          <w:tcPr>
            <w:tcW w:type="dxa" w:w="4677"/>
          </w:tcPr>
          <w:p>
            <w:r>
              <w:t>28 %</w:t>
            </w:r>
          </w:p>
        </w:tc>
      </w:tr>
      <w:tr>
        <w:tc>
          <w:tcPr>
            <w:tcW w:type="dxa" w:w="4677"/>
          </w:tcPr>
          <w:p>
            <w:r>
              <w:t>Anders Bergström</w:t>
            </w:r>
          </w:p>
        </w:tc>
        <w:tc>
          <w:tcPr>
            <w:tcW w:type="dxa" w:w="4677"/>
          </w:tcPr>
          <w:p>
            <w:r>
              <w:t>12 %</w:t>
            </w:r>
          </w:p>
        </w:tc>
      </w:tr>
      <w:tr>
        <w:tc>
          <w:tcPr>
            <w:tcW w:type="dxa" w:w="4677"/>
          </w:tcPr>
          <w:p>
            <w:r>
              <w:t>Sara Holm</w:t>
            </w:r>
          </w:p>
        </w:tc>
        <w:tc>
          <w:tcPr>
            <w:tcW w:type="dxa" w:w="4677"/>
          </w:tcPr>
          <w:p>
            <w:r>
              <w:t>8 %</w:t>
            </w:r>
          </w:p>
        </w:tc>
      </w:tr>
      <w:tr>
        <w:tc>
          <w:tcPr>
            <w:tcW w:type="dxa" w:w="4677"/>
          </w:tcPr>
          <w:p>
            <w:r>
              <w:t>Erik Norén</w:t>
            </w:r>
          </w:p>
        </w:tc>
        <w:tc>
          <w:tcPr>
            <w:tcW w:type="dxa" w:w="4677"/>
          </w:tcPr>
          <w:p>
            <w:r>
              <w:t>5 %</w:t>
            </w:r>
          </w:p>
        </w:tc>
      </w:tr>
      <w:tr>
        <w:tc>
          <w:tcPr>
            <w:tcW w:type="dxa" w:w="4677"/>
          </w:tcPr>
          <w:p>
            <w:r>
              <w:t>Övriga delägare</w:t>
            </w:r>
          </w:p>
        </w:tc>
        <w:tc>
          <w:tcPr>
            <w:tcW w:type="dxa" w:w="4677"/>
          </w:tcPr>
          <w:p>
            <w:r>
              <w:t>5 %</w:t>
            </w:r>
          </w:p>
        </w:tc>
      </w:tr>
    </w:tbl>
    <w:p>
      <w:pPr>
        <w:pStyle w:val="Heading2"/>
      </w:pPr>
      <w:r>
        <w:t>2. Bolagets verksamhet och ledning</w:t>
      </w:r>
    </w:p>
    <w:p>
      <w:r>
        <w:rPr>
          <w:b w:val="0"/>
          <w:i w:val="0"/>
        </w:rPr>
        <w:t>Bolaget ska ledas av en styrelse som utses av bolagsstämman. Verkställande direktören ansvarar för den löpande förvaltningen enligt styrelsens instruktioner.</w:t>
      </w:r>
    </w:p>
    <w:p>
      <w:pPr>
        <w:pStyle w:val="Heading2"/>
      </w:pPr>
      <w:r>
        <w:t>3. Överlåtelse av aktier</w:t>
      </w:r>
    </w:p>
    <w:p>
      <w:pPr>
        <w:pStyle w:val="Heading3"/>
      </w:pPr>
      <w:r>
        <w:t>3.1 Hembudsförbehåll</w:t>
      </w:r>
    </w:p>
    <w:p>
      <w:r>
        <w:rPr>
          <w:b w:val="0"/>
          <w:i w:val="0"/>
        </w:rPr>
        <w:t>Ägare som avser att överlåta aktier ska först hembjuda aktierna till övriga ägare. Hembud ska ske skriftligen och övriga ägare ska beredas skälig tid att anta erbjudandet.</w:t>
      </w:r>
    </w:p>
    <w:p>
      <w:pPr>
        <w:pStyle w:val="Heading3"/>
      </w:pPr>
      <w:r>
        <w:t>3.2 Samtyckeskrav</w:t>
      </w:r>
    </w:p>
    <w:p>
      <w:r>
        <w:rPr>
          <w:b w:val="0"/>
          <w:i w:val="0"/>
        </w:rPr>
        <w:t>Överlåtelse av aktier kräver styrelsens samtycke.</w:t>
      </w:r>
    </w:p>
    <w:p>
      <w:pPr>
        <w:pStyle w:val="Heading3"/>
      </w:pPr>
      <w:r>
        <w:t>3.3 Drag-along och tag-along</w:t>
      </w:r>
    </w:p>
    <w:p>
      <w:r>
        <w:rPr>
          <w:b w:val="0"/>
          <w:i w:val="0"/>
        </w:rPr>
        <w:t>Om ägare som tillsammans företräder mer än femtio (50) procent av aktierna överlåter samtliga sina aktier till tredje man, har övriga ägare rätt (tag-along) och i förekommande fall skyldighet (drag-along) att medverka i överlåtelsen på motsvarande villkor.</w:t>
      </w:r>
    </w:p>
    <w:p>
      <w:pPr>
        <w:pStyle w:val="Heading3"/>
      </w:pPr>
      <w:r>
        <w:t>3.4 Förköpsrätt</w:t>
      </w:r>
    </w:p>
    <w:p>
      <w:r>
        <w:rPr>
          <w:b w:val="0"/>
          <w:i w:val="0"/>
        </w:rPr>
        <w:t>Vid nyemission har befintliga ägare förköpsrätt till nya aktier i förhållande till sitt innehav.</w:t>
      </w:r>
    </w:p>
    <w:p>
      <w:pPr>
        <w:pStyle w:val="Heading3"/>
      </w:pPr>
      <w:r>
        <w:t>3.5 Värdering vid hembud</w:t>
      </w:r>
    </w:p>
    <w:p>
      <w:r>
        <w:rPr>
          <w:b w:val="0"/>
          <w:i w:val="0"/>
        </w:rPr>
        <w:t>Vid hembud ska aktierna värderas till marknadsmässigt värde. Kan parterna inte enas om värdet ska detta fastställas av en värderingsman som parterna gemensamt utser.</w:t>
      </w:r>
    </w:p>
    <w:p>
      <w:pPr>
        <w:pStyle w:val="Heading2"/>
      </w:pPr>
      <w:r>
        <w:t>4. Nyemission</w:t>
      </w:r>
    </w:p>
    <w:p>
      <w:r>
        <w:rPr>
          <w:b w:val="0"/>
          <w:i w:val="0"/>
        </w:rPr>
        <w:t>Beslut om nyemission förutsätter styrelsens samtycke.</w:t>
      </w:r>
    </w:p>
    <w:p>
      <w:pPr>
        <w:pStyle w:val="Heading2"/>
      </w:pPr>
      <w:r>
        <w:t>5. Ägarförändring</w:t>
      </w:r>
    </w:p>
    <w:p>
      <w:r>
        <w:rPr>
          <w:b w:val="0"/>
          <w:i w:val="0"/>
        </w:rPr>
        <w:t>Överlåtelse som medför kontrollägarskifte i bolaget kräver samtliga ägares godkännande.</w:t>
      </w:r>
    </w:p>
    <w:p>
      <w:pPr>
        <w:pStyle w:val="Heading2"/>
      </w:pPr>
      <w:r>
        <w:t>6. Bolagsstämma</w:t>
      </w:r>
    </w:p>
    <w:p>
      <w:r>
        <w:rPr>
          <w:b w:val="0"/>
          <w:i w:val="0"/>
        </w:rPr>
        <w:t>Ordinarie bolagsstämma ska hållas årligen inom sex (6) månader efter räkenskapsårets utgång. Kallelse till stämma ska ske skriftligen senast två (2) veckor före stämman.</w:t>
      </w:r>
    </w:p>
    <w:p>
      <w:pPr>
        <w:pStyle w:val="Heading2"/>
      </w:pPr>
      <w:r>
        <w:t>7. Utdelning</w:t>
      </w:r>
    </w:p>
    <w:p>
      <w:r>
        <w:rPr>
          <w:b w:val="0"/>
          <w:i w:val="0"/>
        </w:rPr>
        <w:t>Beslut om utdelning fattas av bolagsstämman med beaktande av bolagets finansiella ställning och tillämpliga lagregler om vinstutdelning.</w:t>
      </w:r>
    </w:p>
    <w:p>
      <w:pPr>
        <w:pStyle w:val="Heading2"/>
      </w:pPr>
      <w:r>
        <w:t>8. Styrelsearvoden</w:t>
      </w:r>
    </w:p>
    <w:p>
      <w:r>
        <w:rPr>
          <w:b w:val="0"/>
          <w:i w:val="0"/>
        </w:rPr>
        <w:t>Arvode till styrelsens ledamöter fastställs årligen av bolagsstämman.</w:t>
      </w:r>
    </w:p>
    <w:p>
      <w:pPr>
        <w:pStyle w:val="Heading2"/>
      </w:pPr>
      <w:r>
        <w:t>9. Sekretess</w:t>
      </w:r>
    </w:p>
    <w:p>
      <w:r>
        <w:rPr>
          <w:b w:val="0"/>
          <w:i w:val="0"/>
        </w:rPr>
        <w:t>Ägarna förbinder sig att inte röja konfidentiell information om bolaget som de får del av i egenskap av ägare. Åtagandet gäller även efter det att ägaren upphört att vara ägare.</w:t>
      </w:r>
    </w:p>
    <w:p>
      <w:pPr>
        <w:pStyle w:val="Heading2"/>
      </w:pPr>
      <w:r>
        <w:t>10. Meddelanden</w:t>
      </w:r>
    </w:p>
    <w:p>
      <w:r>
        <w:rPr>
          <w:b w:val="0"/>
          <w:i w:val="0"/>
        </w:rPr>
        <w:t>Meddelanden enligt detta avtal ska ske skriftligen.</w:t>
      </w:r>
    </w:p>
    <w:p>
      <w:pPr>
        <w:pStyle w:val="Heading2"/>
      </w:pPr>
      <w:r>
        <w:t>11. Ändringar och tillägg</w:t>
      </w:r>
    </w:p>
    <w:p>
      <w:r>
        <w:rPr>
          <w:b w:val="0"/>
          <w:i w:val="0"/>
        </w:rPr>
        <w:t>Ändringar av och tillägg till detta avtal ska vara skriftliga och undertecknade av samtliga parter.</w:t>
      </w:r>
    </w:p>
    <w:p>
      <w:pPr>
        <w:pStyle w:val="Heading2"/>
      </w:pPr>
      <w:r>
        <w:t>12. Tvist</w:t>
      </w:r>
    </w:p>
    <w:p>
      <w:r>
        <w:rPr>
          <w:b w:val="0"/>
          <w:i w:val="0"/>
        </w:rPr>
        <w:t>Svensk rätt tillämpas på avtalet. Tvister avgörs av Stockholms tingsrätt som första instans.</w:t>
      </w:r>
    </w:p>
    <w:p>
      <w:pPr>
        <w:pStyle w:val="Heading2"/>
      </w:pPr>
      <w:r>
        <w:t>13. Teckningsrätter vid nyemission</w:t>
      </w:r>
    </w:p>
    <w:p>
      <w:r>
        <w:rPr>
          <w:b w:val="0"/>
          <w:i w:val="0"/>
        </w:rPr>
        <w:t>Vid nyemission som inte beslutats enhälligt ska nya aktier erbjudas befintliga ägare i förhållande till deras innehav innan aktier erbjuds till utomstående.</w:t>
      </w:r>
    </w:p>
    <w:p>
      <w:pPr>
        <w:pStyle w:val="Heading2"/>
      </w:pPr>
      <w:r>
        <w:t>14. Likvidation och upplösning</w:t>
      </w:r>
    </w:p>
    <w:p>
      <w:r>
        <w:rPr>
          <w:b w:val="0"/>
          <w:i w:val="0"/>
        </w:rPr>
        <w:t>Vid bolagets likvidation ska återstående tillgångar efter betalning av bolagets skulder fördelas mellan ägarna i förhållande till deras aktieinnehav.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Datum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Ändring</w:t>
            </w:r>
          </w:p>
        </w:tc>
      </w:tr>
      <w:tr>
        <w:tc>
          <w:tcPr>
            <w:tcW w:type="dxa" w:w="3118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20.05.2021</w:t>
            </w:r>
          </w:p>
        </w:tc>
        <w:tc>
          <w:tcPr>
            <w:tcW w:type="dxa" w:w="3118"/>
          </w:tcPr>
          <w:p>
            <w:r>
              <w:t>Ursprungligt avtal.</w:t>
            </w:r>
          </w:p>
        </w:tc>
      </w:tr>
    </w:tbl>
    <w:p>
      <w:pPr>
        <w:pStyle w:val="Heading2"/>
      </w:pPr>
      <w:r>
        <w:t>Övriga bestämmelser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Sekretess: Vardera parten ska hemlighålla information om motpartens verksamhet som parten får del av med anledning av detta avtal och som är av konfidentiell natur.</w:t>
      </w:r>
    </w:p>
    <w:p>
      <w:pPr>
        <w:pStyle w:val="Heading2"/>
      </w:pPr>
      <w:r>
        <w:t>Underskrifter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Part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Namnförtydligande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Ort och datum</w:t>
            </w:r>
          </w:p>
        </w:tc>
      </w:tr>
      <w:tr>
        <w:tc>
          <w:tcPr>
            <w:tcW w:type="dxa" w:w="3118"/>
          </w:tcPr>
          <w:p>
            <w:r>
              <w:t>Nordviken Digital AB</w:t>
            </w:r>
          </w:p>
        </w:tc>
        <w:tc>
          <w:tcPr>
            <w:tcW w:type="dxa" w:w="3118"/>
          </w:tcPr>
          <w:p>
            <w:r>
              <w:t>Maja Lindqvist, VD</w:t>
            </w:r>
          </w:p>
        </w:tc>
        <w:tc>
          <w:tcPr>
            <w:tcW w:type="dxa" w:w="3118"/>
          </w:tcPr>
          <w:p>
            <w:r>
              <w:t>20.05.2021</w:t>
            </w:r>
          </w:p>
        </w:tc>
      </w:tr>
      <w:tr>
        <w:tc>
          <w:tcPr>
            <w:tcW w:type="dxa" w:w="3118"/>
          </w:tcPr>
          <w:p>
            <w:r>
              <w:t>Maja Lindqvist</w:t>
            </w:r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>
              <w:t>Jonas Sandberg</w:t>
            </w:r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>
              <w:t>Anders Bergström</w:t>
            </w:r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>
              <w:t>Sara Holm</w:t>
            </w:r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>
              <w:t>Erik Norén</w:t>
            </w:r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  <w:tr>
        <w:tc>
          <w:tcPr>
            <w:tcW w:type="dxa" w:w="3118"/>
          </w:tcPr>
          <w:p>
            <w:r>
              <w:t>Övriga delägare</w:t>
            </w:r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</w:tbl>
    <w:sectPr w:rsidR="00FC693F" w:rsidRPr="0006063C" w:rsidSect="00034616"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