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Norrhamns Hamn AB (nedan "Part B"). Parterna benämns gemensamt "Parterna".</w:t>
      </w:r>
    </w:p>
    <w:p>
      <w:r>
        <w:rPr>
          <w:b w:val="0"/>
          <w:i w:val="0"/>
        </w:rPr>
        <w:t>Avtalsdatum: 22.12.2024</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Hela avtalet: Avtalet utgör parternas fullständiga reglering av de frågor som omfattas av avtalet och ersätter alla tidigare muntliga eller skriftliga överenskommelser i dessa frågor.</w:t>
      </w:r>
    </w:p>
    <w:p>
      <w:r>
        <w:rPr>
          <w:b w:val="0"/>
          <w:i w:val="0"/>
        </w:rPr>
        <w:t>Ogiltighet: Skulle någon bestämmelse i avtalet vara eller bli ogiltig, påverkar det inte övriga bestämmelsers giltighet. Parterna ska i sådant fall ersätta bestämmelsen med en giltig bestämmelse som så nära som möjligt motsvarar parternas ursprungliga avsikt.</w:t>
      </w:r>
    </w:p>
    <w:p>
      <w:r>
        <w:rPr>
          <w:b w:val="0"/>
          <w:i w:val="0"/>
        </w:rPr>
        <w:t>Efterlevnad av lag: Vardera parten ska vid fullgörandet av avtalet följa vid var tid tillämpliga lagar, förordningar och myndighetsföreskrifter.</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Norrhamns Hamn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