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Cloudserve Ireland Ltd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SIN-2025-0109</w:t>
      </w:r>
    </w:p>
    <w:p>
      <w:r>
        <w:rPr>
          <w:b/>
        </w:rPr>
        <w:t xml:space="preserve">Fakturadatum: </w:t>
      </w:r>
      <w:r>
        <w:rPr>
          <w:b w:val="0"/>
        </w:rPr>
        <w:t>2025-04-11</w:t>
      </w:r>
    </w:p>
    <w:p>
      <w:r>
        <w:rPr>
          <w:b/>
        </w:rPr>
        <w:t xml:space="preserve">Förfallodatum: </w:t>
      </w:r>
      <w:r>
        <w:rPr>
          <w:b w:val="0"/>
        </w:rPr>
        <w:t>2025-05-11</w:t>
      </w:r>
    </w:p>
    <w:p>
      <w:r>
        <w:rPr>
          <w:b/>
        </w:rPr>
        <w:t xml:space="preserve">Avser: </w:t>
      </w:r>
      <w:r>
        <w:rPr>
          <w:b w:val="0"/>
        </w:rPr>
        <w:t>M365 och Azure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p>
      <w:r>
        <w:rPr>
          <w:b w:val="0"/>
          <w:i/>
        </w:rPr>
        <w:t>Omvänd skattskyldighet – moms redovisas av köparen.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M365 och Azure</w:t>
            </w:r>
          </w:p>
        </w:tc>
        <w:tc>
          <w:tcPr>
            <w:tcW w:type="dxa" w:w="2160"/>
          </w:tcPr>
          <w:p>
            <w:r>
              <w:t>95 000,00</w:t>
            </w:r>
          </w:p>
        </w:tc>
        <w:tc>
          <w:tcPr>
            <w:tcW w:type="dxa" w:w="2160"/>
          </w:tcPr>
          <w:p>
            <w:r>
              <w:t>23 750,00</w:t>
            </w:r>
          </w:p>
        </w:tc>
        <w:tc>
          <w:tcPr>
            <w:tcW w:type="dxa" w:w="2160"/>
          </w:tcPr>
          <w:p>
            <w:r>
              <w:t>118 750,00</w:t>
            </w:r>
          </w:p>
        </w:tc>
      </w:tr>
    </w:tbl>
    <w:p>
      <w:pPr>
        <w:jc w:val="right"/>
      </w:pPr>
      <w:r>
        <w:rPr>
          <w:b/>
        </w:rPr>
        <w:t>ATT BETALA: 118 750,00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