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INV-2026-0147</w:t>
      </w:r>
    </w:p>
    <w:p>
      <w:r>
        <w:rPr>
          <w:b/>
        </w:rPr>
        <w:t xml:space="preserve">Fakturadatum: </w:t>
      </w:r>
      <w:r>
        <w:rPr>
          <w:b w:val="0"/>
        </w:rPr>
        <w:t>2026-04-28</w:t>
      </w:r>
    </w:p>
    <w:p>
      <w:r>
        <w:rPr>
          <w:b/>
        </w:rPr>
        <w:t xml:space="preserve">Förfallodatum: </w:t>
      </w:r>
      <w:r>
        <w:rPr>
          <w:b w:val="0"/>
        </w:rPr>
        <w:t>2026-05-28</w:t>
      </w:r>
    </w:p>
    <w:p>
      <w:r>
        <w:rPr>
          <w:b/>
        </w:rPr>
        <w:t xml:space="preserve">Er referens: </w:t>
      </w:r>
      <w:r>
        <w:rPr>
          <w:b w:val="0"/>
        </w:rPr>
        <w:t>2026-04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Stjärnklart Media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2026-04 (29.4 timmar à 1020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29 988,00</w:t>
            </w:r>
          </w:p>
        </w:tc>
        <w:tc>
          <w:tcPr>
            <w:tcW w:type="dxa" w:w="1728"/>
          </w:tcPr>
          <w:p>
            <w:r>
              <w:t>7 497,00</w:t>
            </w:r>
          </w:p>
        </w:tc>
        <w:tc>
          <w:tcPr>
            <w:tcW w:type="dxa" w:w="1728"/>
          </w:tcPr>
          <w:p>
            <w:r>
              <w:t>37 485,00</w:t>
            </w:r>
          </w:p>
        </w:tc>
      </w:tr>
    </w:tbl>
    <w:p>
      <w:pPr>
        <w:jc w:val="right"/>
      </w:pPr>
      <w:r>
        <w:rPr>
          <w:b/>
        </w:rPr>
        <w:t>ATT BETALA: 37 485,00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