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INV-2026-0165</w:t>
      </w:r>
    </w:p>
    <w:p>
      <w:r>
        <w:rPr>
          <w:b/>
        </w:rPr>
        <w:t xml:space="preserve">Fakturadatum: </w:t>
      </w:r>
      <w:r>
        <w:rPr>
          <w:b w:val="0"/>
        </w:rPr>
        <w:t>2026-04-28</w:t>
      </w:r>
    </w:p>
    <w:p>
      <w:r>
        <w:rPr>
          <w:b/>
        </w:rPr>
        <w:t xml:space="preserve">Förfallodatum: </w:t>
      </w:r>
      <w:r>
        <w:rPr>
          <w:b w:val="0"/>
        </w:rPr>
        <w:t>2026-06-12</w:t>
      </w:r>
    </w:p>
    <w:p>
      <w:r>
        <w:rPr>
          <w:b/>
        </w:rPr>
        <w:t xml:space="preserve">Er referens: </w:t>
      </w:r>
      <w:r>
        <w:rPr>
          <w:b w:val="0"/>
        </w:rPr>
        <w:t>2026-04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Stormvindens Logistik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2026-04 (34.2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33 858,00</w:t>
            </w:r>
          </w:p>
        </w:tc>
        <w:tc>
          <w:tcPr>
            <w:tcW w:type="dxa" w:w="1728"/>
          </w:tcPr>
          <w:p>
            <w:r>
              <w:t>8 464,50</w:t>
            </w:r>
          </w:p>
        </w:tc>
        <w:tc>
          <w:tcPr>
            <w:tcW w:type="dxa" w:w="1728"/>
          </w:tcPr>
          <w:p>
            <w:r>
              <w:t>42 322,50</w:t>
            </w:r>
          </w:p>
        </w:tc>
      </w:tr>
    </w:tbl>
    <w:p>
      <w:pPr>
        <w:jc w:val="right"/>
      </w:pPr>
      <w:r>
        <w:rPr>
          <w:b/>
        </w:rPr>
        <w:t>ATT BETALA: 42 322,50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