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Riskregister</w:t>
      </w:r>
    </w:p>
    <w:p>
      <w:r>
        <w:rPr>
          <w:b/>
        </w:rPr>
        <w:t xml:space="preserve">Datum: </w:t>
      </w:r>
      <w:r>
        <w:rPr>
          <w:b w:val="0"/>
        </w:rPr>
        <w:t>Upprättat 2024-12-20, senast uppdaterat 2026-05-11 (v3.2)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v3.2</w:t>
      </w:r>
    </w:p>
    <w:p>
      <w:r>
        <w:rPr>
          <w:b/>
        </w:rPr>
        <w:t xml:space="preserve">Dokument-ID: </w:t>
      </w:r>
      <w:r>
        <w:rPr>
          <w:b w:val="0"/>
        </w:rPr>
        <w:t>DOC-RISK-001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Sannolikhet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Konsekvens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Ägare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1234"/>
          </w:tcPr>
          <w:p>
            <w:r>
              <w:t>R-01</w:t>
            </w:r>
          </w:p>
        </w:tc>
        <w:tc>
          <w:tcPr>
            <w:tcW w:type="dxa" w:w="1234"/>
          </w:tcPr>
          <w:p>
            <w:r>
              <w:t>Kundkoncentration – SEAB (Skogsbygdens Energi, ca 35 % av omsättningen)</w:t>
            </w:r>
          </w:p>
        </w:tc>
        <w:tc>
          <w:tcPr>
            <w:tcW w:type="dxa" w:w="1234"/>
          </w:tcPr>
          <w:p>
            <w:r>
              <w:t>Hög</w:t>
            </w:r>
          </w:p>
        </w:tc>
        <w:tc>
          <w:tcPr>
            <w:tcW w:type="dxa" w:w="1234"/>
          </w:tcPr>
          <w:p>
            <w:r>
              <w:t>Kritisk</w:t>
            </w:r>
          </w:p>
        </w:tc>
        <w:tc>
          <w:tcPr>
            <w:tcW w:type="dxa" w:w="1234"/>
          </w:tcPr>
          <w:p>
            <w:r>
              <w:t>Maja Lindqvist</w:t>
            </w:r>
          </w:p>
        </w:tc>
        <w:tc>
          <w:tcPr>
            <w:tcW w:type="dxa" w:w="1234"/>
          </w:tcPr>
          <w:p>
            <w:r>
              <w:t>Spridningsplan, scenarioanalys (styrelsebeslut 2026-03-12), nya ENTERPRISE- och offentliga avtal</w:t>
            </w:r>
          </w:p>
        </w:tc>
        <w:tc>
          <w:tcPr>
            <w:tcW w:type="dxa" w:w="1234"/>
          </w:tcPr>
          <w:p>
            <w:r>
              <w:t>Pågående</w:t>
            </w:r>
          </w:p>
        </w:tc>
      </w:tr>
      <w:tr>
        <w:tc>
          <w:tcPr>
            <w:tcW w:type="dxa" w:w="1234"/>
          </w:tcPr>
          <w:p>
            <w:r>
              <w:t>R-02</w:t>
            </w:r>
          </w:p>
        </w:tc>
        <w:tc>
          <w:tcPr>
            <w:tcW w:type="dxa" w:w="1234"/>
          </w:tcPr>
          <w:p>
            <w:r>
              <w:t>Nyckelpersonsberoende – Daniel Nyström (data/AI), Tomas Berg (arkitektur), Maria Gustavsson (testledning)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Hög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Oåtgärdad</w:t>
            </w:r>
          </w:p>
        </w:tc>
      </w:tr>
      <w:tr>
        <w:tc>
          <w:tcPr>
            <w:tcW w:type="dxa" w:w="1234"/>
          </w:tcPr>
          <w:p>
            <w:r>
              <w:t>R-03</w:t>
            </w:r>
          </w:p>
        </w:tc>
        <w:tc>
          <w:tcPr>
            <w:tcW w:type="dxa" w:w="1234"/>
          </w:tcPr>
          <w:p>
            <w:r>
              <w:t>Obegränsat ansvar i ÖH-avtalet (CTR-2024-016, Örby Handel) – avviker från standardmallen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Hög</w:t>
            </w:r>
          </w:p>
        </w:tc>
        <w:tc>
          <w:tcPr>
            <w:tcW w:type="dxa" w:w="1234"/>
          </w:tcPr>
          <w:p>
            <w:r>
              <w:t>Maja Lindqvist</w:t>
            </w:r>
          </w:p>
        </w:tc>
        <w:tc>
          <w:tcPr>
            <w:tcW w:type="dxa" w:w="1234"/>
          </w:tcPr>
          <w:p>
            <w:r>
              <w:t>Nya avtal ska ha ansvarstak; tvisten om slutfakturan pågår</w:t>
            </w:r>
          </w:p>
        </w:tc>
        <w:tc>
          <w:tcPr>
            <w:tcW w:type="dxa" w:w="1234"/>
          </w:tcPr>
          <w:p>
            <w:r>
              <w:t>Pågående</w:t>
            </w:r>
          </w:p>
        </w:tc>
      </w:tr>
      <w:tr>
        <w:tc>
          <w:tcPr>
            <w:tcW w:type="dxa" w:w="1234"/>
          </w:tcPr>
          <w:p>
            <w:r>
              <w:t>R-04</w:t>
            </w:r>
          </w:p>
        </w:tc>
        <w:tc>
          <w:tcPr>
            <w:tcW w:type="dxa" w:w="1234"/>
          </w:tcPr>
          <w:p>
            <w:r>
              <w:t>Vite i SU-avtalet (CTR-2026-001, Sundbygdens Varv): 1 %/vecka, tak 10 %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Erik Norén</w:t>
            </w:r>
          </w:p>
        </w:tc>
        <w:tc>
          <w:tcPr>
            <w:tcW w:type="dxa" w:w="1234"/>
          </w:tcPr>
          <w:p>
            <w:r>
              <w:t>Leveransplan med buffert, källkodsdepå hos tredje part</w:t>
            </w:r>
          </w:p>
        </w:tc>
        <w:tc>
          <w:tcPr>
            <w:tcW w:type="dxa" w:w="1234"/>
          </w:tcPr>
          <w:p>
            <w:r>
              <w:t>Pågående</w:t>
            </w:r>
          </w:p>
        </w:tc>
      </w:tr>
      <w:tr>
        <w:tc>
          <w:tcPr>
            <w:tcW w:type="dxa" w:w="1234"/>
          </w:tcPr>
          <w:p>
            <w:r>
              <w:t>R-05</w:t>
            </w:r>
          </w:p>
        </w:tc>
        <w:tc>
          <w:tcPr>
            <w:tcW w:type="dxa" w:w="1234"/>
          </w:tcPr>
          <w:p>
            <w:r>
              <w:t>IT-beroende av Cloudserve Ireland (M365/Azure)</w:t>
            </w:r>
          </w:p>
        </w:tc>
        <w:tc>
          <w:tcPr>
            <w:tcW w:type="dxa" w:w="1234"/>
          </w:tcPr>
          <w:p>
            <w:r>
              <w:t>Låg</w:t>
            </w:r>
          </w:p>
        </w:tc>
        <w:tc>
          <w:tcPr>
            <w:tcW w:type="dxa" w:w="1234"/>
          </w:tcPr>
          <w:p>
            <w:r>
              <w:t>Hög</w:t>
            </w:r>
          </w:p>
        </w:tc>
        <w:tc>
          <w:tcPr>
            <w:tcW w:type="dxa" w:w="1234"/>
          </w:tcPr>
          <w:p>
            <w:r>
              <w:t>Jonas Sandberg</w:t>
            </w:r>
          </w:p>
        </w:tc>
        <w:tc>
          <w:tcPr>
            <w:tcW w:type="dxa" w:w="1234"/>
          </w:tcPr>
          <w:p>
            <w:r>
              <w:t>Exitplan och reservrutin utreds</w:t>
            </w:r>
          </w:p>
        </w:tc>
        <w:tc>
          <w:tcPr>
            <w:tcW w:type="dxa" w:w="1234"/>
          </w:tcPr>
          <w:p>
            <w:r>
              <w:t>Delvis åtgärdad</w:t>
            </w:r>
          </w:p>
        </w:tc>
      </w:tr>
      <w:tr>
        <w:tc>
          <w:tcPr>
            <w:tcW w:type="dxa" w:w="1234"/>
          </w:tcPr>
          <w:p>
            <w:r>
              <w:t>R-06</w:t>
            </w:r>
          </w:p>
        </w:tc>
        <w:tc>
          <w:tcPr>
            <w:tcW w:type="dxa" w:w="1234"/>
          </w:tcPr>
          <w:p>
            <w:r>
              <w:t>Likviditet och kundfordringar</w:t>
            </w:r>
          </w:p>
        </w:tc>
        <w:tc>
          <w:tcPr>
            <w:tcW w:type="dxa" w:w="1234"/>
          </w:tcPr>
          <w:p>
            <w:r>
              <w:t>Låg</w:t>
            </w:r>
          </w:p>
        </w:tc>
        <w:tc>
          <w:tcPr>
            <w:tcW w:type="dxa" w:w="1234"/>
          </w:tcPr>
          <w:p>
            <w:r>
              <w:t>Hög</w:t>
            </w:r>
          </w:p>
        </w:tc>
        <w:tc>
          <w:tcPr>
            <w:tcW w:type="dxa" w:w="1234"/>
          </w:tcPr>
          <w:p>
            <w:r>
              <w:t>Anders Bergström</w:t>
            </w:r>
          </w:p>
        </w:tc>
        <w:tc>
          <w:tcPr>
            <w:tcW w:type="dxa" w:w="1234"/>
          </w:tcPr>
          <w:p>
            <w:r>
              <w:t>Veckovisa likviditetsavstämningar, påminnelserutin</w:t>
            </w:r>
          </w:p>
        </w:tc>
        <w:tc>
          <w:tcPr>
            <w:tcW w:type="dxa" w:w="1234"/>
          </w:tcPr>
          <w:p>
            <w:r>
              <w:t>Åtgärdad (2025-10)</w:t>
            </w:r>
          </w:p>
        </w:tc>
      </w:tr>
      <w:tr>
        <w:tc>
          <w:tcPr>
            <w:tcW w:type="dxa" w:w="1234"/>
          </w:tcPr>
          <w:p>
            <w:r>
              <w:t>R-07</w:t>
            </w:r>
          </w:p>
        </w:tc>
        <w:tc>
          <w:tcPr>
            <w:tcW w:type="dxa" w:w="1234"/>
          </w:tcPr>
          <w:p>
            <w:r>
              <w:t>Personalomsättning i leveransteamet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Petra Wahlgren</w:t>
            </w:r>
          </w:p>
        </w:tc>
        <w:tc>
          <w:tcPr>
            <w:tcW w:type="dxa" w:w="1234"/>
          </w:tcPr>
          <w:p>
            <w:r>
              <w:t>Avslutssamtal, lönerevision, utvecklingssamtal</w:t>
            </w:r>
          </w:p>
        </w:tc>
        <w:tc>
          <w:tcPr>
            <w:tcW w:type="dxa" w:w="1234"/>
          </w:tcPr>
          <w:p>
            <w:r>
              <w:t>Pågående</w:t>
            </w:r>
          </w:p>
        </w:tc>
      </w:tr>
      <w:tr>
        <w:tc>
          <w:tcPr>
            <w:tcW w:type="dxa" w:w="1234"/>
          </w:tcPr>
          <w:p>
            <w:r>
              <w:t>R-08</w:t>
            </w:r>
          </w:p>
        </w:tc>
        <w:tc>
          <w:tcPr>
            <w:tcW w:type="dxa" w:w="1234"/>
          </w:tcPr>
          <w:p>
            <w:r>
              <w:t>Integrationsfel lönesystem → ekonomisystem (Löneportalen)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Jonas Sandberg</w:t>
            </w:r>
          </w:p>
        </w:tc>
        <w:tc>
          <w:tcPr>
            <w:tcW w:type="dxa" w:w="1234"/>
          </w:tcPr>
          <w:p>
            <w:r>
              <w:t>Stabilisering med leverantören genomförd</w:t>
            </w:r>
          </w:p>
        </w:tc>
        <w:tc>
          <w:tcPr>
            <w:tcW w:type="dxa" w:w="1234"/>
          </w:tcPr>
          <w:p>
            <w:r>
              <w:t>Åtgärdad (2026-01-15)</w:t>
            </w:r>
          </w:p>
        </w:tc>
      </w:tr>
      <w:tr>
        <w:tc>
          <w:tcPr>
            <w:tcW w:type="dxa" w:w="1234"/>
          </w:tcPr>
          <w:p>
            <w:r>
              <w:t>R-09</w:t>
            </w:r>
          </w:p>
        </w:tc>
        <w:tc>
          <w:tcPr>
            <w:tcW w:type="dxa" w:w="1234"/>
          </w:tcPr>
          <w:p>
            <w:r>
              <w:t>Tredjelandsöverföring av personuppgifter (Analytics Cloud Inc, USA)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SCC tecknade 2025-05-01; utökad användning bör undvikas</w:t>
            </w:r>
          </w:p>
        </w:tc>
        <w:tc>
          <w:tcPr>
            <w:tcW w:type="dxa" w:w="1234"/>
          </w:tcPr>
          <w:p>
            <w:r>
              <w:t>Oåtgärdad</w:t>
            </w:r>
          </w:p>
        </w:tc>
      </w:tr>
      <w:tr>
        <w:tc>
          <w:tcPr>
            <w:tcW w:type="dxa" w:w="1234"/>
          </w:tcPr>
          <w:p>
            <w:r>
              <w:t>R-10</w:t>
            </w:r>
          </w:p>
        </w:tc>
        <w:tc>
          <w:tcPr>
            <w:tcW w:type="dxa" w:w="1234"/>
          </w:tcPr>
          <w:p>
            <w:r>
              <w:t>Intressekonflikt Kapellbacken Fastigheter (både kund och hyresvärd)</w:t>
            </w:r>
          </w:p>
        </w:tc>
        <w:tc>
          <w:tcPr>
            <w:tcW w:type="dxa" w:w="1234"/>
          </w:tcPr>
          <w:p>
            <w:r>
              <w:t>Låg</w:t>
            </w:r>
          </w:p>
        </w:tc>
        <w:tc>
          <w:tcPr>
            <w:tcW w:type="dxa" w:w="1234"/>
          </w:tcPr>
          <w:p>
            <w:r>
              <w:t>Medel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–</w:t>
            </w:r>
          </w:p>
        </w:tc>
        <w:tc>
          <w:tcPr>
            <w:tcW w:type="dxa" w:w="1234"/>
          </w:tcPr>
          <w:p>
            <w:r>
              <w:t>Oåtgärdad</w:t>
            </w:r>
          </w:p>
        </w:tc>
      </w:tr>
    </w:tbl>
    <w:p>
      <w:r>
        <w:rPr>
          <w:b w:val="0"/>
          <w:i w:val="0"/>
        </w:rPr>
        <w:t>Kommentarer</w:t>
      </w:r>
    </w:p>
    <w:p>
      <w:r>
        <w:rPr>
          <w:b w:val="0"/>
          <w:i w:val="0"/>
        </w:rPr>
        <w:t>R-06: Per 2026-04-30 förelåg inga förfallna kundfordringar av betydelse. (Senast granskad 2026-04-30.)</w:t>
      </w:r>
    </w:p>
    <w:p>
      <w:r>
        <w:rPr>
          <w:b w:val="0"/>
          <w:i w:val="0"/>
        </w:rPr>
        <w:t>R-08: Senast verifierad 2026-01-15.</w:t>
      </w:r>
    </w:p>
    <w:p>
      <w:r>
        <w:rPr>
          <w:b w:val="0"/>
          <w:i w:val="0"/>
        </w:rPr>
        <w:t>Registret ses över halvårsvis. Nästa översyn: 2026-11 (med källhänvisningar enligt styrelsebeslut 2026-09-28).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