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AI-policy</w:t>
      </w:r>
    </w:p>
    <w:p>
      <w:r>
        <w:rPr>
          <w:b/>
        </w:rPr>
        <w:t xml:space="preserve">Datum: </w:t>
      </w:r>
      <w:r>
        <w:rPr>
          <w:b w:val="0"/>
        </w:rPr>
        <w:t>Beslutad av ledningsgruppen 2026-01-30, gäller fr.o.m. 2026-02-01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DOC-POL-004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Syfte</w:t>
      </w:r>
    </w:p>
    <w:p>
      <w:r>
        <w:rPr>
          <w:b w:val="0"/>
          <w:i w:val="0"/>
        </w:rPr>
        <w:t>Policyn anger hur generativa AI-verktyg får användas i Nordviken Digital AB, i linje med beslutet om det interna AI-initiativet (ND-Intern AI, budget 1,2 MSEK 2026).</w:t>
      </w:r>
    </w:p>
    <w:p>
      <w:r>
        <w:rPr>
          <w:b/>
          <w:i w:val="0"/>
        </w:rPr>
        <w:t>Tillåtna verktyg</w:t>
      </w:r>
    </w:p>
    <w:p>
      <w:r>
        <w:rPr>
          <w:b w:val="0"/>
          <w:i w:val="0"/>
        </w:rPr>
        <w:t>Godkända verktyg: Modellfabriken AB (API-access) och Analytics Cloud Inc (analys). Användning av öppna konsumenttjänster (t.ex. publika chattmodeller) med bolags- eller kunddata är förbjuden.</w:t>
      </w:r>
    </w:p>
    <w:p>
      <w:r>
        <w:rPr>
          <w:b/>
          <w:i w:val="0"/>
        </w:rPr>
        <w:t>Krav vid användning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Krav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Beskrivning</w:t>
            </w:r>
          </w:p>
        </w:tc>
      </w:tr>
      <w:tr>
        <w:tc>
          <w:tcPr>
            <w:tcW w:type="dxa" w:w="4320"/>
          </w:tcPr>
          <w:p>
            <w:r>
              <w:t>Källhänvisning</w:t>
            </w:r>
          </w:p>
        </w:tc>
        <w:tc>
          <w:tcPr>
            <w:tcW w:type="dxa" w:w="4320"/>
          </w:tcPr>
          <w:p>
            <w:r>
              <w:t>Alla AI-genererade svar som används i kundleveranser eller interna beslut ska ha verifierbar källhänvisning.</w:t>
            </w:r>
          </w:p>
        </w:tc>
      </w:tr>
      <w:tr>
        <w:tc>
          <w:tcPr>
            <w:tcW w:type="dxa" w:w="4320"/>
          </w:tcPr>
          <w:p>
            <w:r>
              <w:t>Mänsklig granskning</w:t>
            </w:r>
          </w:p>
        </w:tc>
        <w:tc>
          <w:tcPr>
            <w:tcW w:type="dxa" w:w="4320"/>
          </w:tcPr>
          <w:p>
            <w:r>
              <w:t>AI-genererat material ska alltid granskas av en ansvarig medarbetare före användning.</w:t>
            </w:r>
          </w:p>
        </w:tc>
      </w:tr>
      <w:tr>
        <w:tc>
          <w:tcPr>
            <w:tcW w:type="dxa" w:w="4320"/>
          </w:tcPr>
          <w:p>
            <w:r>
              <w:t>Ingen känslig data</w:t>
            </w:r>
          </w:p>
        </w:tc>
        <w:tc>
          <w:tcPr>
            <w:tcW w:type="dxa" w:w="4320"/>
          </w:tcPr>
          <w:p>
            <w:r>
              <w:t>Känsliga personuppgifter och kundspecifika produktionsdata får inte skickas till AI-modeller utan särskilt godkännande.</w:t>
            </w:r>
          </w:p>
        </w:tc>
      </w:tr>
      <w:tr>
        <w:tc>
          <w:tcPr>
            <w:tcW w:type="dxa" w:w="4320"/>
          </w:tcPr>
          <w:p>
            <w:r>
              <w:t>Loggning</w:t>
            </w:r>
          </w:p>
        </w:tc>
        <w:tc>
          <w:tcPr>
            <w:tcW w:type="dxa" w:w="4320"/>
          </w:tcPr>
          <w:p>
            <w:r>
              <w:t>AI-användning ska loggas (verktyg, syfte, promptkategori).</w:t>
            </w:r>
          </w:p>
        </w:tc>
      </w:tr>
      <w:tr>
        <w:tc>
          <w:tcPr>
            <w:tcW w:type="dxa" w:w="4320"/>
          </w:tcPr>
          <w:p>
            <w:r>
              <w:t>Utbildning</w:t>
            </w:r>
          </w:p>
        </w:tc>
        <w:tc>
          <w:tcPr>
            <w:tcW w:type="dxa" w:w="4320"/>
          </w:tcPr>
          <w:p>
            <w:r>
              <w:t>Medarbetare som använder AI-verktyg ska ha genomgått introduktion (utbildningsplan 2026).</w:t>
            </w:r>
          </w:p>
        </w:tc>
      </w:tr>
    </w:tbl>
    <w:p>
      <w:r>
        <w:rPr>
          <w:b w:val="0"/>
          <w:i w:val="0"/>
        </w:rPr>
        <w:t>Ansvarsfördelning</w:t>
      </w:r>
    </w:p>
    <w:p>
      <w:r>
        <w:rPr>
          <w:b w:val="0"/>
          <w:i w:val="0"/>
        </w:rPr>
        <w:t>Daniel Nyström (Data/AI-specialist) är samordnare för AI-initiativet och ansvarar för utvärdering av verktyg och uppföljning av policyn. Systemägare ansvarar för att verktyg de beställer är godkända.</w:t>
      </w:r>
    </w:p>
    <w:p>
      <w:r>
        <w:rPr>
          <w:b w:val="0"/>
          <w:i w:val="0"/>
        </w:rPr>
        <w:t>Uppföljning</w:t>
      </w:r>
    </w:p>
    <w:p>
      <w:r>
        <w:rPr>
          <w:b w:val="0"/>
          <w:i w:val="0"/>
        </w:rPr>
        <w:t>Policyn följs upp i samband med ledningsgruppens kvartalsgenomgångar. Incidenter rapporteras som säkerhetsincidenter.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