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Designverktyg (Designsuiten)</w:t>
      </w:r>
    </w:p>
    <w:p>
      <w:r>
        <w:rPr>
          <w:b w:val="0"/>
          <w:i w:val="0"/>
        </w:rPr>
        <w:t>Avtalsnummer: CTR-SUP-007</w:t>
      </w:r>
    </w:p>
    <w:p>
      <w:pPr>
        <w:pStyle w:val="Heading1"/>
      </w:pPr>
      <w:r>
        <w:t>Avtal</w:t>
      </w:r>
    </w:p>
    <w:p>
      <w:r>
        <w:rPr>
          <w:b w:val="0"/>
          <w:i w:val="0"/>
        </w:rPr>
        <w:t>Mellan Nordviken Digital AB, org.nr 559245-1673 (nedan "Kunden"), och Designsuiten AB, org.nr 556391-5542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11 200,00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Designverktyg (Designsuiten)</w:t>
            </w:r>
          </w:p>
        </w:tc>
        <w:tc>
          <w:tcPr>
            <w:tcW w:type="dxa" w:w="4677"/>
          </w:tcPr>
          <w:p>
            <w:r>
              <w:t>11 200,00 kr/mån</w:t>
            </w:r>
          </w:p>
        </w:tc>
      </w:tr>
    </w:tbl>
    <w:p>
      <w:pPr>
        <w:pStyle w:val="Heading2"/>
      </w:pPr>
      <w:r>
        <w:t>4. Avtalstid och uppsägning</w:t>
      </w:r>
    </w:p>
    <w:p>
      <w:r>
        <w:rPr>
          <w:b w:val="0"/>
          <w:i w:val="0"/>
        </w:rPr>
        <w:t>Avtalet gäller från och med 01.05.2022 till och med 31.01.2027.</w:t>
      </w:r>
    </w:p>
    <w:p>
      <w:r>
        <w:rPr>
          <w:b w:val="0"/>
          <w:i w:val="0"/>
        </w:rPr>
        <w:t>Avtalet förlängs automatiskt med 12 månader om det inte sägs upp senast 3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Underkonsulter</w:t>
      </w:r>
    </w:p>
    <w:p>
      <w:r>
        <w:rPr>
          <w:b w:val="0"/>
          <w:i w:val="0"/>
        </w:rPr>
        <w:t>Leverantören har rätt att anlita underkonsulter för utförandet av tjänsterna. Leverantören svarar för underkonsulters arbete som för eget arbete.</w:t>
      </w:r>
    </w:p>
    <w:p>
      <w:pPr>
        <w:pStyle w:val="Heading2"/>
      </w:pPr>
      <w:r>
        <w:t>9.2 Försäkringar</w:t>
      </w:r>
    </w:p>
    <w:p>
      <w:r>
        <w:rPr>
          <w:b w:val="0"/>
          <w:i w:val="0"/>
        </w:rPr>
        <w:t>Vardera parten ska under avtalstiden inneha sedvanliga försäkringar för sin verksamhet.</w:t>
      </w:r>
    </w:p>
    <w:p>
      <w:pPr>
        <w:pStyle w:val="Heading2"/>
      </w:pPr>
      <w:r>
        <w:t>9.3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9.4 Prioritet mellan handlingar</w:t>
      </w:r>
    </w:p>
    <w:p>
      <w:r>
        <w:rPr>
          <w:b w:val="0"/>
          <w:i w:val="0"/>
        </w:rPr>
        <w:t>Vid motstridighet mellan avtalets handlingar gäller de i följande ordning: detta avtal, därefter bilagorna i nummerordning.</w:t>
      </w:r>
    </w:p>
    <w:p>
      <w:pPr>
        <w:pStyle w:val="Heading2"/>
      </w:pPr>
      <w:r>
        <w:t>9.5 Efterlevnad av lag</w:t>
      </w:r>
    </w:p>
    <w:p>
      <w:r>
        <w:rPr>
          <w:b w:val="0"/>
          <w:i w:val="0"/>
        </w:rPr>
        <w:t>Vardera parten ska vid fullgörandet av avtalet följa vid var tid tillämpliga lagar, förordningar och myndighetsföreskrifter.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Designsuiten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