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Revision &amp; Tal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SIN-2025-0394</w:t>
      </w:r>
    </w:p>
    <w:p>
      <w:r>
        <w:rPr>
          <w:b/>
        </w:rPr>
        <w:t xml:space="preserve">Fakturadatum: </w:t>
      </w:r>
      <w:r>
        <w:rPr>
          <w:b w:val="0"/>
        </w:rPr>
        <w:t>2025-11-15</w:t>
      </w:r>
    </w:p>
    <w:p>
      <w:r>
        <w:rPr>
          <w:b/>
        </w:rPr>
        <w:t xml:space="preserve">Förfallodatum: </w:t>
      </w:r>
      <w:r>
        <w:rPr>
          <w:b w:val="0"/>
        </w:rPr>
        <w:t>2025-12-15</w:t>
      </w:r>
    </w:p>
    <w:p>
      <w:r>
        <w:rPr>
          <w:b/>
        </w:rPr>
        <w:t xml:space="preserve">Avser: </w:t>
      </w:r>
      <w:r>
        <w:rPr>
          <w:b w:val="0"/>
        </w:rPr>
        <w:t>Revision FY2025</w:t>
      </w:r>
    </w:p>
    <w:p>
      <w:r>
        <w:rPr>
          <w:b/>
        </w:rPr>
        <w:t xml:space="preserve">Konto: </w:t>
      </w:r>
      <w:r>
        <w:rPr>
          <w:b w:val="0"/>
        </w:rPr>
        <w:t>6420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Revision FY2025</w:t>
            </w:r>
          </w:p>
        </w:tc>
        <w:tc>
          <w:tcPr>
            <w:tcW w:type="dxa" w:w="2160"/>
          </w:tcPr>
          <w:p>
            <w:r>
              <w:t>95 000,00</w:t>
            </w:r>
          </w:p>
        </w:tc>
        <w:tc>
          <w:tcPr>
            <w:tcW w:type="dxa" w:w="2160"/>
          </w:tcPr>
          <w:p>
            <w:r>
              <w:t>23 750,00</w:t>
            </w:r>
          </w:p>
        </w:tc>
        <w:tc>
          <w:tcPr>
            <w:tcW w:type="dxa" w:w="2160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