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INV-2024-0044</w:t>
      </w:r>
    </w:p>
    <w:p>
      <w:r>
        <w:rPr>
          <w:b/>
        </w:rPr>
        <w:t xml:space="preserve">Fakturadatum: </w:t>
      </w:r>
      <w:r>
        <w:rPr>
          <w:b w:val="0"/>
        </w:rPr>
        <w:t>2024-11-28</w:t>
      </w:r>
    </w:p>
    <w:p>
      <w:r>
        <w:rPr>
          <w:b/>
        </w:rPr>
        <w:t xml:space="preserve">Förfallodatum: </w:t>
      </w:r>
      <w:r>
        <w:rPr>
          <w:b w:val="0"/>
        </w:rPr>
        <w:t>2025-01-12</w:t>
      </w:r>
    </w:p>
    <w:p>
      <w:r>
        <w:rPr>
          <w:b/>
        </w:rPr>
        <w:t xml:space="preserve">Er referens: </w:t>
      </w:r>
      <w:r>
        <w:rPr>
          <w:b w:val="0"/>
        </w:rPr>
        <w:t>2024-11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Stormvindens Logistik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2024-11 (43.8 timmar à 990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43 362,00</w:t>
            </w:r>
          </w:p>
        </w:tc>
        <w:tc>
          <w:tcPr>
            <w:tcW w:type="dxa" w:w="1728"/>
          </w:tcPr>
          <w:p>
            <w:r>
              <w:t>10 840,50</w:t>
            </w:r>
          </w:p>
        </w:tc>
        <w:tc>
          <w:tcPr>
            <w:tcW w:type="dxa" w:w="1728"/>
          </w:tcPr>
          <w:p>
            <w:r>
              <w:t>54 202,50</w:t>
            </w:r>
          </w:p>
        </w:tc>
      </w:tr>
    </w:tbl>
    <w:p>
      <w:pPr>
        <w:jc w:val="right"/>
      </w:pPr>
      <w:r>
        <w:rPr>
          <w:b/>
        </w:rPr>
        <w:t>ATT BETALA: 54 202,50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