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INV-2026-0049</w:t>
      </w:r>
    </w:p>
    <w:p>
      <w:r>
        <w:rPr>
          <w:b/>
        </w:rPr>
        <w:t xml:space="preserve">Fakturadatum: </w:t>
      </w:r>
      <w:r>
        <w:rPr>
          <w:b w:val="0"/>
        </w:rPr>
        <w:t>2026-02-28</w:t>
      </w:r>
    </w:p>
    <w:p>
      <w:r>
        <w:rPr>
          <w:b/>
        </w:rPr>
        <w:t xml:space="preserve">Förfallodatum: </w:t>
      </w:r>
      <w:r>
        <w:rPr>
          <w:b w:val="0"/>
        </w:rPr>
        <w:t>2026-03-30</w:t>
      </w:r>
    </w:p>
    <w:p>
      <w:r>
        <w:rPr>
          <w:b/>
        </w:rPr>
        <w:t xml:space="preserve">Er referens: </w:t>
      </w:r>
      <w:r>
        <w:rPr>
          <w:b w:val="0"/>
        </w:rPr>
        <w:t>2026-02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Kustbandets Färjor AB</w:t>
      </w:r>
    </w:p>
    <w:p>
      <w:r>
        <w:rPr>
          <w:b w:val="0"/>
          <w:i w:val="0"/>
        </w:rPr>
        <w:t xml:space="preserve">Projekt: P-2408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2026-02 (189.7 timmar à 1150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218 155,00</w:t>
            </w:r>
          </w:p>
        </w:tc>
        <w:tc>
          <w:tcPr>
            <w:tcW w:type="dxa" w:w="1728"/>
          </w:tcPr>
          <w:p>
            <w:r>
              <w:t>54 538,75</w:t>
            </w:r>
          </w:p>
        </w:tc>
        <w:tc>
          <w:tcPr>
            <w:tcW w:type="dxa" w:w="1728"/>
          </w:tcPr>
          <w:p>
            <w:r>
              <w:t>272 693,75</w:t>
            </w:r>
          </w:p>
        </w:tc>
      </w:tr>
    </w:tbl>
    <w:p>
      <w:pPr>
        <w:jc w:val="right"/>
      </w:pPr>
      <w:r>
        <w:rPr>
          <w:b/>
        </w:rPr>
        <w:t>ATT BETALA: 272 693,75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