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INV-2026-0136</w:t>
      </w:r>
    </w:p>
    <w:p>
      <w:r>
        <w:rPr>
          <w:b/>
        </w:rPr>
        <w:t xml:space="preserve">Fakturadatum: </w:t>
      </w:r>
      <w:r>
        <w:rPr>
          <w:b w:val="0"/>
        </w:rPr>
        <w:t>2026-04-28</w:t>
      </w:r>
    </w:p>
    <w:p>
      <w:r>
        <w:rPr>
          <w:b/>
        </w:rPr>
        <w:t xml:space="preserve">Förfallodatum: </w:t>
      </w:r>
      <w:r>
        <w:rPr>
          <w:b w:val="0"/>
        </w:rPr>
        <w:t>2026-05-28</w:t>
      </w:r>
    </w:p>
    <w:p>
      <w:r>
        <w:rPr>
          <w:b/>
        </w:rPr>
        <w:t xml:space="preserve">Er referens: </w:t>
      </w:r>
      <w:r>
        <w:rPr>
          <w:b w:val="0"/>
        </w:rPr>
        <w:t>2026-04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Gruvbergets Mineral AB</w:t>
      </w:r>
    </w:p>
    <w:p>
      <w:r>
        <w:rPr>
          <w:b w:val="0"/>
          <w:i w:val="0"/>
        </w:rPr>
        <w:t xml:space="preserve">Projekt: P-2417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2026-04 (150.0 timmar à 1150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172 500,00</w:t>
            </w:r>
          </w:p>
        </w:tc>
        <w:tc>
          <w:tcPr>
            <w:tcW w:type="dxa" w:w="1728"/>
          </w:tcPr>
          <w:p>
            <w:r>
              <w:t>43 125,00</w:t>
            </w:r>
          </w:p>
        </w:tc>
        <w:tc>
          <w:tcPr>
            <w:tcW w:type="dxa" w:w="1728"/>
          </w:tcPr>
          <w:p>
            <w:r>
              <w:t>215 625,00</w:t>
            </w:r>
          </w:p>
        </w:tc>
      </w:tr>
    </w:tbl>
    <w:p>
      <w:pPr>
        <w:jc w:val="right"/>
      </w:pPr>
      <w:r>
        <w:rPr>
          <w:b/>
        </w:rPr>
        <w:t>ATT BETALA: 215 625,00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