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INV-2026-0352</w:t>
      </w:r>
    </w:p>
    <w:p>
      <w:r>
        <w:rPr>
          <w:b/>
        </w:rPr>
        <w:t xml:space="preserve">Fakturadatum: </w:t>
      </w:r>
      <w:r>
        <w:rPr>
          <w:b w:val="0"/>
        </w:rPr>
        <w:t>2026-09-28</w:t>
      </w:r>
    </w:p>
    <w:p>
      <w:r>
        <w:rPr>
          <w:b/>
        </w:rPr>
        <w:t xml:space="preserve">Förfallodatum: </w:t>
      </w:r>
      <w:r>
        <w:rPr>
          <w:b w:val="0"/>
        </w:rPr>
        <w:t>2026-10-28</w:t>
      </w:r>
    </w:p>
    <w:p>
      <w:r>
        <w:rPr>
          <w:b/>
        </w:rPr>
        <w:t xml:space="preserve">Er referens: </w:t>
      </w:r>
      <w:r>
        <w:rPr>
          <w:b w:val="0"/>
        </w:rPr>
        <w:t>2026-09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Morgonrodnadens Bageri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2026-09 (13.0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12 350,00</w:t>
            </w:r>
          </w:p>
        </w:tc>
        <w:tc>
          <w:tcPr>
            <w:tcW w:type="dxa" w:w="1728"/>
          </w:tcPr>
          <w:p>
            <w:r>
              <w:t>3 087,50</w:t>
            </w:r>
          </w:p>
        </w:tc>
        <w:tc>
          <w:tcPr>
            <w:tcW w:type="dxa" w:w="1728"/>
          </w:tcPr>
          <w:p>
            <w:r>
              <w:t>15 437,50</w:t>
            </w:r>
          </w:p>
        </w:tc>
      </w:tr>
    </w:tbl>
    <w:p>
      <w:pPr>
        <w:jc w:val="right"/>
      </w:pPr>
      <w:r>
        <w:rPr>
          <w:b/>
        </w:rPr>
        <w:t>ATT BETALA: 15 437,50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