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Molntjänstpolicy</w:t>
      </w:r>
    </w:p>
    <w:p>
      <w:r>
        <w:rPr>
          <w:b/>
        </w:rPr>
        <w:t xml:space="preserve">Datum: </w:t>
      </w:r>
      <w:r>
        <w:rPr>
          <w:b w:val="0"/>
        </w:rPr>
        <w:t>Fastställd 2025-12-01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Version: </w:t>
      </w:r>
      <w:r>
        <w:rPr>
          <w:b w:val="0"/>
        </w:rPr>
        <w:t>v1.2</w:t>
      </w:r>
    </w:p>
    <w:p>
      <w:r>
        <w:rPr>
          <w:b/>
        </w:rPr>
        <w:t xml:space="preserve">Dokument-ID: </w:t>
      </w:r>
      <w:r>
        <w:rPr>
          <w:b w:val="0"/>
        </w:rPr>
        <w:t>DOC-POL-007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1. Godkända tjänster: Endast molntjänster i systemförteckningen får användas för bolagsdata. Ny SaaS-tjänst kräver säkerhetsbedömning (se leverantörsbedömningar) och godkännande av CTO och CFO.</w:t>
      </w:r>
    </w:p>
    <w:p>
      <w:r>
        <w:rPr>
          <w:b w:val="0"/>
          <w:i w:val="0"/>
        </w:rPr>
        <w:t>2. Tredjelandsöverföring: Analytics Cloud Inc (SUP-013, USA) används med standardavtalsklausuler (SCC, tecknade 2025-05-01). Känsliga personuppgifter får inte behandlas i tjänster utanför EU/EES. Övriga tjänster ska hålla data inom EU/EES.</w:t>
      </w:r>
    </w:p>
    <w:p>
      <w:r>
        <w:rPr>
          <w:b w:val="0"/>
          <w:i w:val="0"/>
        </w:rPr>
        <w:t>3. Omvänd skattskyldighet: För tjänster från leverantörer utanför Sverige (t.ex. Cloudserve Ireland Ltd) tillämpas omvänd skattskyldighet enligt mervärdesskattelagen.</w:t>
      </w:r>
    </w:p>
    <w:p>
      <w:r>
        <w:rPr>
          <w:b w:val="0"/>
          <w:i w:val="0"/>
        </w:rPr>
        <w:t>4. Personuppgiftsbiträdesavtal (DPA) ska finnas med samtliga biträden före användning.</w:t>
      </w:r>
    </w:p>
    <w:p>
      <w:r>
        <w:rPr>
          <w:b w:val="0"/>
          <w:i w:val="0"/>
        </w:rPr>
        <w:t>5. Data: Kundproduktionsdata får endast ligga i tjänster godkända för den dataklassen. Säkerhetskopiering enligt IT-säkerhetspolicyn.</w:t>
      </w:r>
    </w:p>
    <w:p>
      <w:r>
        <w:rPr>
          <w:b w:val="0"/>
          <w:i w:val="0"/>
        </w:rPr>
        <w:t>6. Exit: För kritiska tjänster ska exportmöjlighet och reservrutin finnas dokumenterad (se reservrutinsförteckning).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