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Personuppgiftspolicy (GDPR)</w:t>
      </w:r>
    </w:p>
    <w:p>
      <w:r>
        <w:rPr>
          <w:b/>
        </w:rPr>
        <w:t xml:space="preserve">Datum: </w:t>
      </w:r>
      <w:r>
        <w:rPr>
          <w:b w:val="0"/>
        </w:rPr>
        <w:t>Fastställd 2024-03-01</w:t>
      </w:r>
    </w:p>
    <w:p>
      <w:r>
        <w:rPr>
          <w:b/>
        </w:rPr>
        <w:t xml:space="preserve">Upprättad av: </w:t>
      </w:r>
      <w:r>
        <w:rPr>
          <w:b w:val="0"/>
        </w:rPr>
        <w:t>Petra Wahlgren, HR- och kontorschef</w:t>
      </w:r>
    </w:p>
    <w:p>
      <w:r>
        <w:rPr>
          <w:b/>
        </w:rPr>
        <w:t xml:space="preserve">Version: </w:t>
      </w:r>
      <w:r>
        <w:rPr>
          <w:b w:val="0"/>
        </w:rPr>
        <w:t>v3.0</w:t>
      </w:r>
    </w:p>
    <w:p>
      <w:r>
        <w:rPr>
          <w:b/>
        </w:rPr>
        <w:t xml:space="preserve">Dokument-ID: </w:t>
      </w:r>
      <w:r>
        <w:rPr>
          <w:b w:val="0"/>
        </w:rPr>
        <w:t>DOC-POL-001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Syfte</w:t>
      </w:r>
    </w:p>
    <w:p>
      <w:r>
        <w:rPr>
          <w:b w:val="0"/>
          <w:i w:val="0"/>
        </w:rPr>
        <w:t>Policyn beskriver hur Nordviken Digital AB behandlar personuppgifter om kunder, leverantörer, medarbetare och kontakter i enlighet med dataskyddsförordningen (GDPR).</w:t>
      </w:r>
    </w:p>
    <w:p>
      <w:r>
        <w:rPr>
          <w:b/>
          <w:i w:val="0"/>
        </w:rPr>
        <w:t>Laglig grund per behandling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Behandling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Laglig grund</w:t>
            </w:r>
          </w:p>
        </w:tc>
      </w:tr>
      <w:tr>
        <w:tc>
          <w:tcPr>
            <w:tcW w:type="dxa" w:w="4320"/>
          </w:tcPr>
          <w:p>
            <w:r>
              <w:t>Kund- och avtalsadministration</w:t>
            </w:r>
          </w:p>
        </w:tc>
        <w:tc>
          <w:tcPr>
            <w:tcW w:type="dxa" w:w="4320"/>
          </w:tcPr>
          <w:p>
            <w:r>
              <w:t>Avtal (art. 6.1 b)</w:t>
            </w:r>
          </w:p>
        </w:tc>
      </w:tr>
      <w:tr>
        <w:tc>
          <w:tcPr>
            <w:tcW w:type="dxa" w:w="4320"/>
          </w:tcPr>
          <w:p>
            <w:r>
              <w:t>Fakturering och bokföring</w:t>
            </w:r>
          </w:p>
        </w:tc>
        <w:tc>
          <w:tcPr>
            <w:tcW w:type="dxa" w:w="4320"/>
          </w:tcPr>
          <w:p>
            <w:r>
              <w:t>Rättslig förpliktelse (art. 6.1 c)</w:t>
            </w:r>
          </w:p>
        </w:tc>
      </w:tr>
      <w:tr>
        <w:tc>
          <w:tcPr>
            <w:tcW w:type="dxa" w:w="4320"/>
          </w:tcPr>
          <w:p>
            <w:r>
              <w:t>Nyhetsbrev och marknadsutskick</w:t>
            </w:r>
          </w:p>
        </w:tc>
        <w:tc>
          <w:tcPr>
            <w:tcW w:type="dxa" w:w="4320"/>
          </w:tcPr>
          <w:p>
            <w:r>
              <w:t>Samtycke (art. 6.1 a) eller berättigat intresse</w:t>
            </w:r>
          </w:p>
        </w:tc>
      </w:tr>
      <w:tr>
        <w:tc>
          <w:tcPr>
            <w:tcW w:type="dxa" w:w="4320"/>
          </w:tcPr>
          <w:p>
            <w:r>
              <w:t>CRM-hantering av affärskontakter</w:t>
            </w:r>
          </w:p>
        </w:tc>
        <w:tc>
          <w:tcPr>
            <w:tcW w:type="dxa" w:w="4320"/>
          </w:tcPr>
          <w:p>
            <w:r>
              <w:t>Berättigat intresse (art. 6.1 f)</w:t>
            </w:r>
          </w:p>
        </w:tc>
      </w:tr>
      <w:tr>
        <w:tc>
          <w:tcPr>
            <w:tcW w:type="dxa" w:w="4320"/>
          </w:tcPr>
          <w:p>
            <w:r>
              <w:t>Rekrytering</w:t>
            </w:r>
          </w:p>
        </w:tc>
        <w:tc>
          <w:tcPr>
            <w:tcW w:type="dxa" w:w="4320"/>
          </w:tcPr>
          <w:p>
            <w:r>
              <w:t>Berättigat intresse samt samtycke för lagring av ansökningar</w:t>
            </w:r>
          </w:p>
        </w:tc>
      </w:tr>
      <w:tr>
        <w:tc>
          <w:tcPr>
            <w:tcW w:type="dxa" w:w="4320"/>
          </w:tcPr>
          <w:p>
            <w:r>
              <w:t>Anställningsadministration</w:t>
            </w:r>
          </w:p>
        </w:tc>
        <w:tc>
          <w:tcPr>
            <w:tcW w:type="dxa" w:w="4320"/>
          </w:tcPr>
          <w:p>
            <w:r>
              <w:t>Avtal och rättslig förpliktelse</w:t>
            </w:r>
          </w:p>
        </w:tc>
      </w:tr>
      <w:tr>
        <w:tc>
          <w:tcPr>
            <w:tcW w:type="dxa" w:w="4320"/>
          </w:tcPr>
          <w:p>
            <w:r>
              <w:t>Säkerhetsloggar och incidenthantering</w:t>
            </w:r>
          </w:p>
        </w:tc>
        <w:tc>
          <w:tcPr>
            <w:tcW w:type="dxa" w:w="4320"/>
          </w:tcPr>
          <w:p>
            <w:r>
              <w:t>Rättslig förpliktelse / berättigat intresse</w:t>
            </w:r>
          </w:p>
        </w:tc>
      </w:tr>
    </w:tbl>
    <w:p>
      <w:r>
        <w:rPr>
          <w:b/>
          <w:i w:val="0"/>
        </w:rPr>
        <w:t>Gallringsfrister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Uppgiftstyp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Gallringsfrist</w:t>
            </w:r>
          </w:p>
        </w:tc>
      </w:tr>
      <w:tr>
        <w:tc>
          <w:tcPr>
            <w:tcW w:type="dxa" w:w="4320"/>
          </w:tcPr>
          <w:p>
            <w:r>
              <w:t>Bokföringsmaterial och fakturor</w:t>
            </w:r>
          </w:p>
        </w:tc>
        <w:tc>
          <w:tcPr>
            <w:tcW w:type="dxa" w:w="4320"/>
          </w:tcPr>
          <w:p>
            <w:r>
              <w:t>7 år efter räkenskapsårets utgång</w:t>
            </w:r>
          </w:p>
        </w:tc>
      </w:tr>
      <w:tr>
        <w:tc>
          <w:tcPr>
            <w:tcW w:type="dxa" w:w="4320"/>
          </w:tcPr>
          <w:p>
            <w:r>
              <w:t>Kunddokumentation och projektunderlag</w:t>
            </w:r>
          </w:p>
        </w:tc>
        <w:tc>
          <w:tcPr>
            <w:tcW w:type="dxa" w:w="4320"/>
          </w:tcPr>
          <w:p>
            <w:r>
              <w:t>7 år efter avtalets upphörande</w:t>
            </w:r>
          </w:p>
        </w:tc>
      </w:tr>
      <w:tr>
        <w:tc>
          <w:tcPr>
            <w:tcW w:type="dxa" w:w="4320"/>
          </w:tcPr>
          <w:p>
            <w:r>
              <w:t>Rekryteringsansökningar</w:t>
            </w:r>
          </w:p>
        </w:tc>
        <w:tc>
          <w:tcPr>
            <w:tcW w:type="dxa" w:w="4320"/>
          </w:tcPr>
          <w:p>
            <w:r>
              <w:t>24 månader efter avslutad rekrytering</w:t>
            </w:r>
          </w:p>
        </w:tc>
      </w:tr>
      <w:tr>
        <w:tc>
          <w:tcPr>
            <w:tcW w:type="dxa" w:w="4320"/>
          </w:tcPr>
          <w:p>
            <w:r>
              <w:t>CRM-kontakter utan avtal</w:t>
            </w:r>
          </w:p>
        </w:tc>
        <w:tc>
          <w:tcPr>
            <w:tcW w:type="dxa" w:w="4320"/>
          </w:tcPr>
          <w:p>
            <w:r>
              <w:t>36 månader efter senaste kontakt</w:t>
            </w:r>
          </w:p>
        </w:tc>
      </w:tr>
      <w:tr>
        <w:tc>
          <w:tcPr>
            <w:tcW w:type="dxa" w:w="4320"/>
          </w:tcPr>
          <w:p>
            <w:r>
              <w:t>Säkerhetskopior</w:t>
            </w:r>
          </w:p>
        </w:tc>
        <w:tc>
          <w:tcPr>
            <w:tcW w:type="dxa" w:w="4320"/>
          </w:tcPr>
          <w:p>
            <w:r>
              <w:t>90 dagar</w:t>
            </w:r>
          </w:p>
        </w:tc>
      </w:tr>
      <w:tr>
        <w:tc>
          <w:tcPr>
            <w:tcW w:type="dxa" w:w="4320"/>
          </w:tcPr>
          <w:p>
            <w:r>
              <w:t>Kameraövervakning (entré)</w:t>
            </w:r>
          </w:p>
        </w:tc>
        <w:tc>
          <w:tcPr>
            <w:tcW w:type="dxa" w:w="4320"/>
          </w:tcPr>
          <w:p>
            <w:r>
              <w:t>30 dagar</w:t>
            </w:r>
          </w:p>
        </w:tc>
      </w:tr>
    </w:tbl>
    <w:p>
      <w:r>
        <w:rPr>
          <w:b w:val="0"/>
          <w:i w:val="0"/>
        </w:rPr>
        <w:t>Personuppgiftsbiträden</w:t>
      </w:r>
    </w:p>
    <w:p>
      <w:r>
        <w:rPr>
          <w:b w:val="0"/>
          <w:i w:val="0"/>
        </w:rPr>
        <w:t>Bolaget använder följande personuppgiftsbiträden: Pipeline AB (CRM, DPA 2022-12-01), Analytics Cloud Inc (analys, DPA + SCC 2025-05-01), Arkivet AB (dokument, DPA 2023-04-01), Cloudserve Ireland Ltd (M365/Azure, DPA 2024-01-01), Whiteboard AB (samarbetsyta, DPA SAKNAS – uppföljning pågår), Löneportalen AB (lön, DPA 2023-01-01), Personalen AB (HR, DPA 2023-06-01).</w:t>
      </w:r>
    </w:p>
    <w:p>
      <w:r>
        <w:rPr>
          <w:b w:val="0"/>
          <w:i w:val="0"/>
        </w:rPr>
        <w:t>Överföring till tredje land</w:t>
      </w:r>
    </w:p>
    <w:p>
      <w:r>
        <w:rPr>
          <w:b w:val="0"/>
          <w:i w:val="0"/>
        </w:rPr>
        <w:t>Analytics Cloud Inc (USA) används med standardavtalsklausuler (SCC). Känsliga personuppgifter får inte behandlas i tjänster utanför EU/EES. Se molntjänstpolicyn (DOC-POL-007).</w:t>
      </w:r>
    </w:p>
    <w:p>
      <w:r>
        <w:rPr>
          <w:b w:val="0"/>
          <w:i w:val="0"/>
        </w:rPr>
        <w:t>Incidenthantering</w:t>
      </w:r>
    </w:p>
    <w:p>
      <w:r>
        <w:rPr>
          <w:b w:val="0"/>
          <w:i w:val="0"/>
        </w:rPr>
        <w:t>Personuppgiftsincidenter ska anmälas internt till dataskyddssamordnaren (Petra Wahlgren) samma dag och till Integritetsskyddsmyndigheten inom 72 timmar om incidenten sannolikt medför risk.</w:t>
      </w:r>
    </w:p>
    <w:p>
      <w:r>
        <w:rPr>
          <w:b w:val="0"/>
          <w:i w:val="0"/>
        </w:rPr>
        <w:t>Roller</w:t>
      </w:r>
    </w:p>
    <w:p>
      <w:r>
        <w:rPr>
          <w:b w:val="0"/>
          <w:i w:val="0"/>
        </w:rPr>
        <w:t>Bolaget har inte utsett något dataskyddsombud (krav saknas). Dataskyddssamordnare är Petra Wahlgren.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