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Kundsegmentering och segmentanalys</w:t>
      </w:r>
    </w:p>
    <w:p>
      <w:r>
        <w:rPr>
          <w:b/>
        </w:rPr>
        <w:t xml:space="preserve">Datum: </w:t>
      </w:r>
      <w:r>
        <w:rPr>
          <w:b w:val="0"/>
        </w:rPr>
        <w:t>Upprättad 2026-09-15</w:t>
      </w:r>
    </w:p>
    <w:p>
      <w:r>
        <w:rPr>
          <w:b/>
        </w:rPr>
        <w:t xml:space="preserve">Upprättad av: </w:t>
      </w:r>
      <w:r>
        <w:rPr>
          <w:b w:val="0"/>
        </w:rPr>
        <w:t>Sara Holm, Försäljningschef</w:t>
      </w:r>
    </w:p>
    <w:p>
      <w:r>
        <w:rPr>
          <w:b/>
        </w:rPr>
        <w:t xml:space="preserve">Version: </w:t>
      </w:r>
      <w:r>
        <w:rPr>
          <w:b w:val="0"/>
        </w:rPr>
        <w:t>v1.0</w:t>
      </w:r>
    </w:p>
    <w:p>
      <w:r>
        <w:rPr>
          <w:b/>
        </w:rPr>
        <w:t xml:space="preserve">Dokument-ID: </w:t>
      </w:r>
      <w:r>
        <w:rPr>
          <w:b w:val="0"/>
        </w:rPr>
        <w:t>DOC-CRM-010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Segment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Kunder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Omsättning FY25 (netto)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Omsättning FY26 (netto)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Utveckling</w:t>
            </w:r>
          </w:p>
        </w:tc>
      </w:tr>
      <w:tr>
        <w:tc>
          <w:tcPr>
            <w:tcW w:type="dxa" w:w="1728"/>
          </w:tcPr>
          <w:p>
            <w:r>
              <w:t>ENTERPRISE</w:t>
            </w:r>
          </w:p>
        </w:tc>
        <w:tc>
          <w:tcPr>
            <w:tcW w:type="dxa" w:w="1728"/>
          </w:tcPr>
          <w:p>
            <w:r>
              <w:t>Skogsbygdens Energi, Kustbandets Färjor, Timmervikens Såg, Norrhamns Hamn, Gruvbergets Mineral, Polstjärnan Försäkring</w:t>
            </w:r>
          </w:p>
        </w:tc>
        <w:tc>
          <w:tcPr>
            <w:tcW w:type="dxa" w:w="1728"/>
          </w:tcPr>
          <w:p>
            <w:r>
              <w:t>20 295 133 kr</w:t>
            </w:r>
          </w:p>
        </w:tc>
        <w:tc>
          <w:tcPr>
            <w:tcW w:type="dxa" w:w="1728"/>
          </w:tcPr>
          <w:p>
            <w:r>
              <w:t>28 348 407 kr</w:t>
            </w:r>
          </w:p>
        </w:tc>
        <w:tc>
          <w:tcPr>
            <w:tcW w:type="dxa" w:w="1728"/>
          </w:tcPr>
          <w:p>
            <w:r>
              <w:t>+39,7 %</w:t>
            </w:r>
          </w:p>
        </w:tc>
      </w:tr>
      <w:tr>
        <w:tc>
          <w:tcPr>
            <w:tcW w:type="dxa" w:w="1728"/>
          </w:tcPr>
          <w:p>
            <w:r>
              <w:t>OFFENTLIG</w:t>
            </w:r>
          </w:p>
        </w:tc>
        <w:tc>
          <w:tcPr>
            <w:tcW w:type="dxa" w:w="1728"/>
          </w:tcPr>
          <w:p>
            <w:r>
              <w:t>Gråvikens kommun, Fyrstadens kommun, Kustlandets region</w:t>
            </w:r>
          </w:p>
        </w:tc>
        <w:tc>
          <w:tcPr>
            <w:tcW w:type="dxa" w:w="1728"/>
          </w:tcPr>
          <w:p>
            <w:r>
              <w:t>5 765 831 kr</w:t>
            </w:r>
          </w:p>
        </w:tc>
        <w:tc>
          <w:tcPr>
            <w:tcW w:type="dxa" w:w="1728"/>
          </w:tcPr>
          <w:p>
            <w:r>
              <w:t>4 512 731 kr</w:t>
            </w:r>
          </w:p>
        </w:tc>
        <w:tc>
          <w:tcPr>
            <w:tcW w:type="dxa" w:w="1728"/>
          </w:tcPr>
          <w:p>
            <w:r>
              <w:t>−21,7 %</w:t>
            </w:r>
          </w:p>
        </w:tc>
      </w:tr>
      <w:tr>
        <w:tc>
          <w:tcPr>
            <w:tcW w:type="dxa" w:w="1728"/>
          </w:tcPr>
          <w:p>
            <w:r>
              <w:t>SMB</w:t>
            </w:r>
          </w:p>
        </w:tc>
        <w:tc>
          <w:tcPr>
            <w:tcW w:type="dxa" w:w="1728"/>
          </w:tcPr>
          <w:p>
            <w:r>
              <w:t>Övriga (41 kunder)</w:t>
            </w:r>
          </w:p>
        </w:tc>
        <w:tc>
          <w:tcPr>
            <w:tcW w:type="dxa" w:w="1728"/>
          </w:tcPr>
          <w:p>
            <w:r>
              <w:t>16 577 223 kr</w:t>
            </w:r>
          </w:p>
        </w:tc>
        <w:tc>
          <w:tcPr>
            <w:tcW w:type="dxa" w:w="1728"/>
          </w:tcPr>
          <w:p>
            <w:r>
              <w:t>21 377 140 kr</w:t>
            </w:r>
          </w:p>
        </w:tc>
        <w:tc>
          <w:tcPr>
            <w:tcW w:type="dxa" w:w="1728"/>
          </w:tcPr>
          <w:p>
            <w:r>
              <w:t>+29,0 %</w:t>
            </w:r>
          </w:p>
        </w:tc>
      </w:tr>
    </w:tbl>
    <w:p>
      <w:r>
        <w:rPr>
          <w:b w:val="0"/>
          <w:i w:val="0"/>
        </w:rPr>
        <w:t>Offentlig sektor minskade under FY26: KL-Vårdportalen (Kustlandets region) avslutades 2026-03-31 och inga nya offentliga uppdrag har ersatt volymen. Affärsplanens antagande om +15 % per år i offentlig sektor har därmed inte infriats.</w:t>
      </w:r>
    </w:p>
    <w:p>
      <w:r>
        <w:rPr>
          <w:b w:val="0"/>
          <w:i w:val="0"/>
        </w:rPr>
        <w:t>ENTERPRISE växte kraftigt tack vare SEAB (34,4 % av total omsättning FY26). SMB växte främst genom nya fastprisprojekt (SU-Produktionssystem, TR-Skogsportal, LM-Lärplattform).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