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Kanalen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SIN-2025-0218</w:t>
      </w:r>
    </w:p>
    <w:p>
      <w:r>
        <w:rPr>
          <w:b/>
        </w:rPr>
        <w:t xml:space="preserve">Fakturadatum: </w:t>
      </w:r>
      <w:r>
        <w:rPr>
          <w:b w:val="0"/>
        </w:rPr>
        <w:t>2025-07-15</w:t>
      </w:r>
    </w:p>
    <w:p>
      <w:r>
        <w:rPr>
          <w:b/>
        </w:rPr>
        <w:t xml:space="preserve">Förfallodatum: </w:t>
      </w:r>
      <w:r>
        <w:rPr>
          <w:b w:val="0"/>
        </w:rPr>
        <w:t>2025-08-14</w:t>
      </w:r>
    </w:p>
    <w:p>
      <w:r>
        <w:rPr>
          <w:b/>
        </w:rPr>
        <w:t xml:space="preserve">Avser: </w:t>
      </w:r>
      <w:r>
        <w:rPr>
          <w:b w:val="0"/>
        </w:rPr>
        <w:t>Chattverktyg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Chattverktyg</w:t>
            </w:r>
          </w:p>
        </w:tc>
        <w:tc>
          <w:tcPr>
            <w:tcW w:type="dxa" w:w="2160"/>
          </w:tcPr>
          <w:p>
            <w:r>
              <w:t>9 800,00</w:t>
            </w:r>
          </w:p>
        </w:tc>
        <w:tc>
          <w:tcPr>
            <w:tcW w:type="dxa" w:w="2160"/>
          </w:tcPr>
          <w:p>
            <w:r>
              <w:t>2 450,00</w:t>
            </w:r>
          </w:p>
        </w:tc>
        <w:tc>
          <w:tcPr>
            <w:tcW w:type="dxa" w:w="2160"/>
          </w:tcPr>
          <w:p>
            <w:r>
              <w:t>12 250,00</w:t>
            </w:r>
          </w:p>
        </w:tc>
      </w:tr>
    </w:tbl>
    <w:p>
      <w:pPr>
        <w:jc w:val="right"/>
      </w:pPr>
      <w:r>
        <w:rPr>
          <w:b/>
        </w:rPr>
        <w:t>ATT BETALA: 12 250,00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