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INV-2025-0255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Aftonrodnans Restauranger AB</w:t>
      </w:r>
    </w:p>
    <w:p>
      <w:r>
        <w:rPr>
          <w:b w:val="0"/>
          <w:i w:val="0"/>
        </w:rPr>
        <w:t xml:space="preserve">Projekt: P-2425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(64.5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65 145,00</w:t>
            </w:r>
          </w:p>
        </w:tc>
        <w:tc>
          <w:tcPr>
            <w:tcW w:type="dxa" w:w="1728"/>
          </w:tcPr>
          <w:p>
            <w:r>
              <w:t>16 286,25</w:t>
            </w:r>
          </w:p>
        </w:tc>
        <w:tc>
          <w:tcPr>
            <w:tcW w:type="dxa" w:w="1728"/>
          </w:tcPr>
          <w:p>
            <w:r>
              <w:t>81 431,25</w:t>
            </w:r>
          </w:p>
        </w:tc>
      </w:tr>
    </w:tbl>
    <w:p>
      <w:pPr>
        <w:jc w:val="right"/>
      </w:pPr>
      <w:r>
        <w:rPr>
          <w:b/>
        </w:rPr>
        <w:t>ATT BETALA: 81 431,25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