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INV-2026-0344</w:t>
      </w:r>
    </w:p>
    <w:p>
      <w:r>
        <w:rPr>
          <w:b/>
        </w:rPr>
        <w:t xml:space="preserve">Fakturadatum: </w:t>
      </w:r>
      <w:r>
        <w:rPr>
          <w:b w:val="0"/>
        </w:rPr>
        <w:t>2026-09-28</w:t>
      </w:r>
    </w:p>
    <w:p>
      <w:r>
        <w:rPr>
          <w:b/>
        </w:rPr>
        <w:t xml:space="preserve">Förfallodatum: </w:t>
      </w:r>
      <w:r>
        <w:rPr>
          <w:b w:val="0"/>
        </w:rPr>
        <w:t>2026-10-28</w:t>
      </w:r>
    </w:p>
    <w:p>
      <w:r>
        <w:rPr>
          <w:b/>
        </w:rPr>
        <w:t xml:space="preserve">Er referens: </w:t>
      </w:r>
      <w:r>
        <w:rPr>
          <w:b w:val="0"/>
        </w:rPr>
        <w:t>2026-09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Nordanvinden Advokat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2026-09 (29.1 timmar à 1040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30 264,00</w:t>
            </w:r>
          </w:p>
        </w:tc>
        <w:tc>
          <w:tcPr>
            <w:tcW w:type="dxa" w:w="1728"/>
          </w:tcPr>
          <w:p>
            <w:r>
              <w:t>7 566,00</w:t>
            </w:r>
          </w:p>
        </w:tc>
        <w:tc>
          <w:tcPr>
            <w:tcW w:type="dxa" w:w="1728"/>
          </w:tcPr>
          <w:p>
            <w:r>
              <w:t>37 830,00</w:t>
            </w:r>
          </w:p>
        </w:tc>
      </w:tr>
    </w:tbl>
    <w:p>
      <w:pPr>
        <w:jc w:val="right"/>
      </w:pPr>
      <w:r>
        <w:rPr>
          <w:b/>
        </w:rPr>
        <w:t>ATT BETALA: 37 830,00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