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Reviderad helårsprognos FY2026</w:t>
      </w:r>
    </w:p>
    <w:p>
      <w:r>
        <w:rPr>
          <w:b/>
        </w:rPr>
        <w:t xml:space="preserve">Datum: </w:t>
      </w:r>
      <w:r>
        <w:rPr>
          <w:b w:val="0"/>
        </w:rPr>
        <w:t>Upprättad 2026-06-01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v2.0</w:t>
      </w:r>
    </w:p>
    <w:p>
      <w:r>
        <w:rPr>
          <w:b/>
        </w:rPr>
        <w:t xml:space="preserve">Dokument-ID: </w:t>
      </w:r>
      <w:r>
        <w:rPr>
          <w:b w:val="0"/>
        </w:rPr>
        <w:t>DOC-BUDG-002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CFO presenterar reviderad helårsprognos enligt styrelsebeslut 2026-05-25. Prognosen ersätter tidigare prognos från mars (54,0 MSEK i basscenariot).</w:t>
      </w:r>
    </w:p>
    <w:p>
      <w:r>
        <w:rPr>
          <w:b/>
          <w:i w:val="0"/>
        </w:rPr>
        <w:t>Scenarier helåret FY2026 (nettoomsättning)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Nettoomsättning (MSEK)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EBIT-marginal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2160"/>
          </w:tcPr>
          <w:p>
            <w:r>
              <w:t>Worst</w:t>
            </w:r>
          </w:p>
        </w:tc>
        <w:tc>
          <w:tcPr>
            <w:tcW w:type="dxa" w:w="2160"/>
          </w:tcPr>
          <w:p>
            <w:r>
              <w:t>48,5</w:t>
            </w:r>
          </w:p>
        </w:tc>
        <w:tc>
          <w:tcPr>
            <w:tcW w:type="dxa" w:w="2160"/>
          </w:tcPr>
          <w:p>
            <w:r>
              <w:t>9 %</w:t>
            </w:r>
          </w:p>
        </w:tc>
        <w:tc>
          <w:tcPr>
            <w:tcW w:type="dxa" w:w="2160"/>
          </w:tcPr>
          <w:p>
            <w:r>
              <w:t>Ytterligare kundförluster, SU-vite, lägre SEAB-volymer Q4</w:t>
            </w:r>
          </w:p>
        </w:tc>
      </w:tr>
      <w:tr>
        <w:tc>
          <w:tcPr>
            <w:tcW w:type="dxa" w:w="2160"/>
          </w:tcPr>
          <w:p>
            <w:r>
              <w:t>Bas</w:t>
            </w:r>
          </w:p>
        </w:tc>
        <w:tc>
          <w:tcPr>
            <w:tcW w:type="dxa" w:w="2160"/>
          </w:tcPr>
          <w:p>
            <w:r>
              <w:t>52,5</w:t>
            </w:r>
          </w:p>
        </w:tc>
        <w:tc>
          <w:tcPr>
            <w:tcW w:type="dxa" w:w="2160"/>
          </w:tcPr>
          <w:p>
            <w:r>
              <w:t>10 %</w:t>
            </w:r>
          </w:p>
        </w:tc>
        <w:tc>
          <w:tcPr>
            <w:tcW w:type="dxa" w:w="2160"/>
          </w:tcPr>
          <w:p>
            <w:r>
              <w:t>SEAB-volymer i linje med maj-utfall; SU i tid</w:t>
            </w:r>
          </w:p>
        </w:tc>
      </w:tr>
      <w:tr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55,0</w:t>
            </w:r>
          </w:p>
        </w:tc>
        <w:tc>
          <w:tcPr>
            <w:tcW w:type="dxa" w:w="2160"/>
          </w:tcPr>
          <w:p>
            <w:r>
              <w:t>12 %</w:t>
            </w:r>
          </w:p>
        </w:tc>
        <w:tc>
          <w:tcPr>
            <w:tcW w:type="dxa" w:w="2160"/>
          </w:tcPr>
          <w:p>
            <w:r>
              <w:t>SEAB-volymer fortsätter öka; nya ramavtal stängs i Q4</w:t>
            </w:r>
          </w:p>
        </w:tc>
      </w:tr>
    </w:tbl>
    <w:p>
      <w:r>
        <w:rPr>
          <w:b/>
          <w:i w:val="0"/>
        </w:rPr>
        <w:t>Utfall hittills (okt 2025–maj 2026)</w:t>
      </w:r>
    </w:p>
    <w:p>
      <w:r>
        <w:rPr>
          <w:b w:val="0"/>
          <w:i w:val="0"/>
        </w:rPr>
        <w:t>Nettoomsättningen till och med maj uppgick till cirka 40,5 MSEK, vilket överstiger budget med cirka 10,6 MSEK. Överprestationen kommer från SEAB (SE-Integration ca 700–800 timmar/månad mot budgeterade 550–600) samt från SU-Produktionssystem och TR-Skogsportal, som inte fanns i budgeten.</w:t>
      </w:r>
    </w:p>
    <w:p>
      <w:r>
        <w:rPr>
          <w:b w:val="0"/>
          <w:i w:val="0"/>
        </w:rPr>
        <w:t>Förändringar mot tidigare prognos</w:t>
      </w:r>
    </w:p>
    <w:p>
      <w:r>
        <w:rPr>
          <w:b w:val="0"/>
          <w:i w:val="0"/>
        </w:rPr>
        <w:t>– Kundförlust: Mossbackens Mekaniska lämnade 2026-06-30 (MM-Underhållssystem, ca 1,0 MSEK/år).</w:t>
      </w:r>
    </w:p>
    <w:p>
      <w:r>
        <w:rPr>
          <w:b w:val="0"/>
          <w:i w:val="0"/>
        </w:rPr>
        <w:t>– Försening: TS-Produktionsportal 8 veckor försenad; viteförhandling pågår (kreditnota om 90 000 kr förväntas).</w:t>
      </w:r>
    </w:p>
    <w:p>
      <w:r>
        <w:rPr>
          <w:b w:val="0"/>
          <w:i w:val="0"/>
        </w:rPr>
        <w:t>– Motverkande: högre SEAB-volymer samt nya uppdrag (SU-Produktionssystem 1,95 MSEK, TR-Skogsportal 0,85 MSEK).</w:t>
      </w:r>
    </w:p>
    <w:p>
      <w:r>
        <w:rPr>
          <w:b/>
          <w:i w:val="0"/>
        </w:rPr>
        <w:t>Mest osäkra antaganden</w:t>
      </w:r>
    </w:p>
    <w:p>
      <w:r>
        <w:rPr>
          <w:b w:val="0"/>
          <w:i w:val="0"/>
        </w:rPr>
        <w:t>1. SEAB-volymer under Q4 (jul–sep) – en minskning med 20 % motsvarar ca 1,1 MSEK lägre intäkter.</w:t>
      </w:r>
    </w:p>
    <w:p>
      <w:r>
        <w:rPr>
          <w:b w:val="0"/>
          <w:i w:val="0"/>
        </w:rPr>
        <w:t>2. Offentlig sektor – prognosen antar oförändrade volymer trots att KL-Vårdportalen avslutats.</w:t>
      </w:r>
    </w:p>
    <w:p>
      <w:r>
        <w:rPr>
          <w:b w:val="0"/>
          <w:i w:val="0"/>
        </w:rPr>
        <w:t>3. SU-Produktionssystem – risk för vite om 1 % per vecka (tak 10 % av 1,95 MSEK).</w:t>
      </w:r>
    </w:p>
    <w:p>
      <w:r>
        <w:rPr>
          <w:b w:val="0"/>
          <w:i w:val="0"/>
        </w:rPr>
        <w:t>4. Besparingar från licensinventeringen (först 2027-effekt).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