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Säkerhetsbedömning av leverantör – Cloudserve Ireland Ltd</w:t>
      </w:r>
    </w:p>
    <w:p>
      <w:r>
        <w:rPr>
          <w:b/>
        </w:rPr>
        <w:t xml:space="preserve">Datum: </w:t>
      </w:r>
      <w:r>
        <w:rPr>
          <w:b w:val="0"/>
        </w:rPr>
        <w:t>2024-01-15</w:t>
      </w:r>
    </w:p>
    <w:p>
      <w:r>
        <w:rPr>
          <w:b/>
        </w:rPr>
        <w:t xml:space="preserve">Upprättad av: </w:t>
      </w:r>
      <w:r>
        <w:rPr>
          <w:b w:val="0"/>
        </w:rPr>
        <w:t>Jonas Sandberg, CTO</w:t>
      </w:r>
    </w:p>
    <w:p>
      <w:r>
        <w:rPr>
          <w:b/>
        </w:rPr>
        <w:t xml:space="preserve">Dokument-ID: </w:t>
      </w:r>
      <w:r>
        <w:rPr>
          <w:b w:val="0"/>
        </w:rPr>
        <w:t>DOC-SUP-001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Område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Bedömning</w:t>
            </w:r>
          </w:p>
        </w:tc>
      </w:tr>
      <w:tr>
        <w:tc>
          <w:tcPr>
            <w:tcW w:type="dxa" w:w="4320"/>
          </w:tcPr>
          <w:p>
            <w:r>
              <w:t>M365 + Azure</w:t>
            </w:r>
          </w:p>
        </w:tc>
        <w:tc>
          <w:tcPr>
            <w:tcW w:type="dxa" w:w="4320"/>
          </w:tcPr>
          <w:p>
            <w:r>
              <w:t>Produktivitet och molnplattform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Fynd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Kommentar</w:t>
            </w:r>
          </w:p>
        </w:tc>
      </w:tr>
      <w:tr>
        <w:tc>
          <w:tcPr>
            <w:tcW w:type="dxa" w:w="4320"/>
          </w:tcPr>
          <w:p>
            <w:r>
              <w:t>Dataskydd</w:t>
            </w:r>
          </w:p>
        </w:tc>
        <w:tc>
          <w:tcPr>
            <w:tcW w:type="dxa" w:w="4320"/>
          </w:tcPr>
          <w:p>
            <w:r>
              <w:t>DPA tecknat 2024-01-01; data inom EU (Irland)</w:t>
            </w:r>
          </w:p>
        </w:tc>
      </w:tr>
      <w:tr>
        <w:tc>
          <w:tcPr>
            <w:tcW w:type="dxa" w:w="4320"/>
          </w:tcPr>
          <w:p>
            <w:r>
              <w:t>Moms</w:t>
            </w:r>
          </w:p>
        </w:tc>
        <w:tc>
          <w:tcPr>
            <w:tcW w:type="dxa" w:w="4320"/>
          </w:tcPr>
          <w:p>
            <w:r>
              <w:t>Omvänd skattskyldighet (reverse charge) – leverantör utanför Sverige</w:t>
            </w:r>
          </w:p>
        </w:tc>
      </w:tr>
      <w:tr>
        <w:tc>
          <w:tcPr>
            <w:tcW w:type="dxa" w:w="4320"/>
          </w:tcPr>
          <w:p>
            <w:r>
              <w:t>Drift</w:t>
            </w:r>
          </w:p>
        </w:tc>
        <w:tc>
          <w:tcPr>
            <w:tcW w:type="dxa" w:w="4320"/>
          </w:tcPr>
          <w:p>
            <w:r>
              <w:t>SLA 99,9 %; exitmöjlighet via export</w:t>
            </w:r>
          </w:p>
        </w:tc>
      </w:tr>
      <w:tr>
        <w:tc>
          <w:tcPr>
            <w:tcW w:type="dxa" w:w="4320"/>
          </w:tcPr>
          <w:p>
            <w:r>
              <w:t>Risknivå</w:t>
            </w:r>
          </w:p>
        </w:tc>
        <w:tc>
          <w:tcPr>
            <w:tcW w:type="dxa" w:w="4320"/>
          </w:tcPr>
          <w:p>
            <w:r>
              <w:t>Låg – godkänd</w:t>
            </w:r>
          </w:p>
        </w:tc>
      </w:tr>
    </w:tbl>
    <w:p>
      <w:r>
        <w:rPr>
          <w:b/>
        </w:rPr>
        <w:t xml:space="preserve">Beslut: </w:t>
      </w:r>
      <w:r>
        <w:rPr>
          <w:b w:val="0"/>
        </w:rPr>
        <w:t>Godkänd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