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FEFFC" w14:textId="5993C8F4" w:rsidR="00B43077" w:rsidRDefault="00B43077">
      <w:pPr>
        <w:rPr>
          <w:b/>
          <w:bCs/>
        </w:rPr>
      </w:pPr>
      <w:r w:rsidRPr="00B43077">
        <w:rPr>
          <w:b/>
          <w:bCs/>
        </w:rPr>
        <w:t>Zadanie: Dla jednej dowolnej próbki zinterpretuj jakość danych. Załącz dwa wybrane wykresy które uzasadniają interpretację.</w:t>
      </w:r>
    </w:p>
    <w:p w14:paraId="1C4DF219" w14:textId="378521DA" w:rsidR="00B43077" w:rsidRDefault="00B43077">
      <w:pPr>
        <w:rPr>
          <w:b/>
          <w:bCs/>
        </w:rPr>
      </w:pPr>
      <w:r>
        <w:rPr>
          <w:b/>
          <w:bCs/>
          <w:noProof/>
        </w:rPr>
        <w:drawing>
          <wp:inline distT="0" distB="0" distL="0" distR="0" wp14:anchorId="097066EA" wp14:editId="04865736">
            <wp:extent cx="5731510" cy="4168140"/>
            <wp:effectExtent l="0" t="0" r="2540" b="3810"/>
            <wp:docPr id="9061466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46647"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168140"/>
                    </a:xfrm>
                    <a:prstGeom prst="rect">
                      <a:avLst/>
                    </a:prstGeom>
                  </pic:spPr>
                </pic:pic>
              </a:graphicData>
            </a:graphic>
          </wp:inline>
        </w:drawing>
      </w:r>
    </w:p>
    <w:p w14:paraId="331D3105" w14:textId="7B2542B0" w:rsidR="00A11E11" w:rsidRPr="00A11E11" w:rsidRDefault="00A11E11">
      <w:r w:rsidRPr="00A11E11">
        <w:t>Dane mają wysoką jakość na początku odczytu (pozycje 1-50) i jakość spada w dalszych pozycjach. Jest to normalne zjawisko w sekwencjonowaniu, ponieważ dokładność zwykle maleje wraz z długością odczytu. Warto rozważyć przycięcie końców odczytów, aby uzyskać lepszą ogólną jakość, zwłaszcza jeśli końcowe fragmenty mają być używane do dokładnych analiz.</w:t>
      </w:r>
    </w:p>
    <w:p w14:paraId="29A118FB" w14:textId="009706FA" w:rsidR="00B43077" w:rsidRDefault="00B43077">
      <w:pPr>
        <w:rPr>
          <w:b/>
          <w:bCs/>
        </w:rPr>
      </w:pPr>
      <w:r>
        <w:rPr>
          <w:b/>
          <w:bCs/>
          <w:noProof/>
        </w:rPr>
        <w:lastRenderedPageBreak/>
        <w:drawing>
          <wp:inline distT="0" distB="0" distL="0" distR="0" wp14:anchorId="3CF34F4E" wp14:editId="59EACD8D">
            <wp:extent cx="5731510" cy="4298950"/>
            <wp:effectExtent l="0" t="0" r="2540" b="6350"/>
            <wp:docPr id="928504676"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04676" name="Picture 2"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B243999" w14:textId="494F2669" w:rsidR="00A11E11" w:rsidRPr="00A11E11" w:rsidRDefault="00A11E11">
      <w:r w:rsidRPr="00A11E11">
        <w:t>Dane sekwencyjne mają wysoką jakość, a większość odczytów osiąga średnie wartości jakości w zakresie 35–39, co jest typowym wskaźnikiem dobrej jakości sekwencjonowania. Taki rozkład sugeruje, że dane mogą być użyteczne w analizach wymagających wysokiej precyzji, gdyż prawdopodobieństwo błędów jest bardzo niskie dla większości odczytów.</w:t>
      </w:r>
    </w:p>
    <w:p w14:paraId="73B7FAB4" w14:textId="78774FDE" w:rsidR="00664B7A" w:rsidRDefault="00664B7A">
      <w:pPr>
        <w:rPr>
          <w:b/>
          <w:bCs/>
          <w:lang w:val="en-GB"/>
        </w:rPr>
      </w:pPr>
      <w:r w:rsidRPr="00664B7A">
        <w:rPr>
          <w:b/>
          <w:bCs/>
        </w:rPr>
        <w:t xml:space="preserve">Zadanie: Wybierz pierwszy wiersz opisujący mapowanie inne niż i) pełne dopasowanie odczytu do referencji (100M) lub ii) brak mapowania. </w:t>
      </w:r>
      <w:proofErr w:type="spellStart"/>
      <w:r w:rsidRPr="00664B7A">
        <w:rPr>
          <w:b/>
          <w:bCs/>
          <w:lang w:val="en-GB"/>
        </w:rPr>
        <w:t>Wklej</w:t>
      </w:r>
      <w:proofErr w:type="spellEnd"/>
      <w:r w:rsidRPr="00664B7A">
        <w:rPr>
          <w:b/>
          <w:bCs/>
          <w:lang w:val="en-GB"/>
        </w:rPr>
        <w:t xml:space="preserve"> </w:t>
      </w:r>
      <w:proofErr w:type="spellStart"/>
      <w:r w:rsidRPr="00664B7A">
        <w:rPr>
          <w:b/>
          <w:bCs/>
          <w:lang w:val="en-GB"/>
        </w:rPr>
        <w:t>kod</w:t>
      </w:r>
      <w:proofErr w:type="spellEnd"/>
      <w:r w:rsidRPr="00664B7A">
        <w:rPr>
          <w:b/>
          <w:bCs/>
          <w:lang w:val="en-GB"/>
        </w:rPr>
        <w:t xml:space="preserve"> CIGAR </w:t>
      </w:r>
      <w:proofErr w:type="spellStart"/>
      <w:r w:rsidRPr="00664B7A">
        <w:rPr>
          <w:b/>
          <w:bCs/>
          <w:lang w:val="en-GB"/>
        </w:rPr>
        <w:t>i</w:t>
      </w:r>
      <w:proofErr w:type="spellEnd"/>
      <w:r w:rsidRPr="00664B7A">
        <w:rPr>
          <w:b/>
          <w:bCs/>
          <w:lang w:val="en-GB"/>
        </w:rPr>
        <w:t xml:space="preserve"> </w:t>
      </w:r>
      <w:proofErr w:type="spellStart"/>
      <w:r w:rsidRPr="00664B7A">
        <w:rPr>
          <w:b/>
          <w:bCs/>
          <w:lang w:val="en-GB"/>
        </w:rPr>
        <w:t>zinterpretuj</w:t>
      </w:r>
      <w:proofErr w:type="spellEnd"/>
      <w:r w:rsidRPr="00664B7A">
        <w:rPr>
          <w:b/>
          <w:bCs/>
          <w:lang w:val="en-GB"/>
        </w:rPr>
        <w:t xml:space="preserve"> go</w:t>
      </w:r>
    </w:p>
    <w:p w14:paraId="3F697483" w14:textId="32426AD7" w:rsidR="00A11E11" w:rsidRPr="00A11E11" w:rsidRDefault="00A11E11">
      <w:pPr>
        <w:rPr>
          <w:lang w:val="en-GB"/>
        </w:rPr>
      </w:pPr>
      <w:proofErr w:type="spellStart"/>
      <w:r w:rsidRPr="00A11E11">
        <w:rPr>
          <w:lang w:val="en-GB"/>
        </w:rPr>
        <w:t>Wiersz</w:t>
      </w:r>
      <w:proofErr w:type="spellEnd"/>
      <w:r w:rsidRPr="00A11E11">
        <w:rPr>
          <w:lang w:val="en-GB"/>
        </w:rPr>
        <w:t>:</w:t>
      </w:r>
    </w:p>
    <w:p w14:paraId="4E4F1461" w14:textId="6DEBE23F" w:rsidR="00664B7A" w:rsidRDefault="00664B7A">
      <w:pPr>
        <w:rPr>
          <w:lang w:val="en-GB"/>
        </w:rPr>
      </w:pPr>
      <w:r w:rsidRPr="00664B7A">
        <w:rPr>
          <w:lang w:val="en-GB"/>
        </w:rPr>
        <w:t>@PG ID:hisat2 PN:hisat2 VN:2.2.1 CL:"/</w:t>
      </w:r>
      <w:proofErr w:type="spellStart"/>
      <w:r w:rsidRPr="00664B7A">
        <w:rPr>
          <w:lang w:val="en-GB"/>
        </w:rPr>
        <w:t>usr</w:t>
      </w:r>
      <w:proofErr w:type="spellEnd"/>
      <w:r w:rsidRPr="00664B7A">
        <w:rPr>
          <w:lang w:val="en-GB"/>
        </w:rPr>
        <w:t>/local/bin/hisat2-align-s --wrapper basic-0 -p 2 -x /</w:t>
      </w:r>
      <w:proofErr w:type="spellStart"/>
      <w:r w:rsidRPr="00664B7A">
        <w:rPr>
          <w:lang w:val="en-GB"/>
        </w:rPr>
        <w:t>cvmfs</w:t>
      </w:r>
      <w:proofErr w:type="spellEnd"/>
      <w:r w:rsidRPr="00664B7A">
        <w:rPr>
          <w:lang w:val="en-GB"/>
        </w:rPr>
        <w:t>/data.galaxyproject.org/managed/hisat2_index/mm10/mm10 --read-lengths 100 -U /</w:t>
      </w:r>
      <w:proofErr w:type="spellStart"/>
      <w:r w:rsidRPr="00664B7A">
        <w:rPr>
          <w:lang w:val="en-GB"/>
        </w:rPr>
        <w:t>tmp</w:t>
      </w:r>
      <w:proofErr w:type="spellEnd"/>
      <w:r w:rsidRPr="00664B7A">
        <w:rPr>
          <w:lang w:val="en-GB"/>
        </w:rPr>
        <w:t>/2916798.unp"</w:t>
      </w:r>
    </w:p>
    <w:p w14:paraId="22103196" w14:textId="77777777" w:rsidR="00A11E11" w:rsidRDefault="00A11E11">
      <w:pPr>
        <w:rPr>
          <w:lang w:val="en-GB"/>
        </w:rPr>
      </w:pPr>
      <w:proofErr w:type="spellStart"/>
      <w:r>
        <w:rPr>
          <w:lang w:val="en-GB"/>
        </w:rPr>
        <w:t>K</w:t>
      </w:r>
      <w:r w:rsidR="00664B7A">
        <w:rPr>
          <w:lang w:val="en-GB"/>
        </w:rPr>
        <w:t>od</w:t>
      </w:r>
      <w:proofErr w:type="spellEnd"/>
      <w:r w:rsidR="00664B7A">
        <w:rPr>
          <w:lang w:val="en-GB"/>
        </w:rPr>
        <w:t xml:space="preserve"> cigar: </w:t>
      </w:r>
    </w:p>
    <w:p w14:paraId="4F501346" w14:textId="7517832C" w:rsidR="00664B7A" w:rsidRPr="00664B7A" w:rsidRDefault="00664B7A">
      <w:pPr>
        <w:rPr>
          <w:lang w:val="en-GB"/>
        </w:rPr>
      </w:pPr>
      <w:r w:rsidRPr="00664B7A">
        <w:rPr>
          <w:lang w:val="en-GB"/>
        </w:rPr>
        <w:t>-x /</w:t>
      </w:r>
      <w:proofErr w:type="spellStart"/>
      <w:r w:rsidRPr="00664B7A">
        <w:rPr>
          <w:lang w:val="en-GB"/>
        </w:rPr>
        <w:t>cvmfs</w:t>
      </w:r>
      <w:proofErr w:type="spellEnd"/>
      <w:r w:rsidRPr="00664B7A">
        <w:rPr>
          <w:lang w:val="en-GB"/>
        </w:rPr>
        <w:t>/data.galaxyproject.org/managed/hisat2_index/mm10/mm10</w:t>
      </w:r>
    </w:p>
    <w:p w14:paraId="612CF288" w14:textId="77777777" w:rsidR="00664B7A" w:rsidRDefault="00664B7A">
      <w:pPr>
        <w:rPr>
          <w:lang w:val="en-GB"/>
        </w:rPr>
      </w:pPr>
    </w:p>
    <w:p w14:paraId="750025EE" w14:textId="77777777" w:rsidR="00A11E11" w:rsidRDefault="00A11E11">
      <w:pPr>
        <w:rPr>
          <w:lang w:val="en-GB"/>
        </w:rPr>
      </w:pPr>
    </w:p>
    <w:p w14:paraId="74C9A0D3" w14:textId="10A2195F" w:rsidR="00664B7A" w:rsidRDefault="00664B7A">
      <w:r w:rsidRPr="00664B7A">
        <w:lastRenderedPageBreak/>
        <w:t xml:space="preserve">CIGAR zapisuje informacje o </w:t>
      </w:r>
      <w:proofErr w:type="spellStart"/>
      <w:r w:rsidRPr="00664B7A">
        <w:t>dopasowaniach</w:t>
      </w:r>
      <w:proofErr w:type="spellEnd"/>
      <w:r w:rsidRPr="00664B7A">
        <w:t>, wstawieniach, usunięciach itp.</w:t>
      </w:r>
    </w:p>
    <w:p w14:paraId="76F18E17" w14:textId="35B40D9B" w:rsidR="00664B7A" w:rsidRPr="00664B7A" w:rsidRDefault="00664B7A" w:rsidP="00664B7A">
      <w:pPr>
        <w:pStyle w:val="ListParagraph"/>
        <w:numPr>
          <w:ilvl w:val="0"/>
          <w:numId w:val="1"/>
        </w:numPr>
      </w:pPr>
      <w:r w:rsidRPr="00664B7A">
        <w:rPr>
          <w:b/>
          <w:bCs/>
        </w:rPr>
        <w:t>-x</w:t>
      </w:r>
      <w:r w:rsidRPr="00664B7A">
        <w:t>: opcja -x służy do wskazania ścieżki do pliku lub katalogu, który zawiera zindeksowany genom (w tym przypadku genom myszy wersja mm10). Indeks ten jest używany podczas mapowania sekwencji RNA do odpowiednich miejsc w genomie.</w:t>
      </w:r>
    </w:p>
    <w:p w14:paraId="2BE4EE09" w14:textId="179B431C" w:rsidR="00664B7A" w:rsidRDefault="00664B7A" w:rsidP="00664B7A">
      <w:pPr>
        <w:pStyle w:val="ListParagraph"/>
        <w:numPr>
          <w:ilvl w:val="0"/>
          <w:numId w:val="1"/>
        </w:numPr>
      </w:pPr>
      <w:r w:rsidRPr="00664B7A">
        <w:rPr>
          <w:b/>
          <w:bCs/>
        </w:rPr>
        <w:t>/</w:t>
      </w:r>
      <w:proofErr w:type="spellStart"/>
      <w:r w:rsidRPr="00664B7A">
        <w:rPr>
          <w:b/>
          <w:bCs/>
        </w:rPr>
        <w:t>cvmfs</w:t>
      </w:r>
      <w:proofErr w:type="spellEnd"/>
      <w:r w:rsidRPr="00664B7A">
        <w:rPr>
          <w:b/>
          <w:bCs/>
        </w:rPr>
        <w:t>/data.galaxyproject.org/</w:t>
      </w:r>
      <w:proofErr w:type="spellStart"/>
      <w:r w:rsidRPr="00664B7A">
        <w:rPr>
          <w:b/>
          <w:bCs/>
        </w:rPr>
        <w:t>managed</w:t>
      </w:r>
      <w:proofErr w:type="spellEnd"/>
      <w:r w:rsidRPr="00664B7A">
        <w:rPr>
          <w:b/>
          <w:bCs/>
        </w:rPr>
        <w:t>/hisat2_index/mm10/mm10</w:t>
      </w:r>
      <w:r w:rsidRPr="00664B7A">
        <w:t xml:space="preserve">: To jest pełna ścieżka do pliku indeksu genomowego. W tym przypadku jest to plik indeksu genomu mm10 (mysz) przechowywany na serwerze Galaxy (platforma do analizy danych w </w:t>
      </w:r>
      <w:proofErr w:type="spellStart"/>
      <w:r w:rsidRPr="00664B7A">
        <w:t>bioinformatyce</w:t>
      </w:r>
      <w:proofErr w:type="spellEnd"/>
      <w:r w:rsidRPr="00664B7A">
        <w:t>). Jest to miejsce, w którym przechowywany jest zindeksowany genom, którego HISAT2 używa do mapowania sekwencji.</w:t>
      </w:r>
    </w:p>
    <w:p w14:paraId="1B3FD1F2" w14:textId="77777777" w:rsidR="00664B7A" w:rsidRDefault="00664B7A" w:rsidP="00664B7A"/>
    <w:p w14:paraId="0EF7832C" w14:textId="21BC17EB" w:rsidR="00664B7A" w:rsidRDefault="00664B7A" w:rsidP="00664B7A">
      <w:pPr>
        <w:rPr>
          <w:b/>
          <w:bCs/>
        </w:rPr>
      </w:pPr>
      <w:r w:rsidRPr="00664B7A">
        <w:rPr>
          <w:b/>
          <w:bCs/>
        </w:rPr>
        <w:t xml:space="preserve">Zadanie: Podaj statystyki zliczonych cech zawarte w jednym z </w:t>
      </w:r>
      <w:proofErr w:type="spellStart"/>
      <w:r w:rsidRPr="00664B7A">
        <w:rPr>
          <w:b/>
          <w:bCs/>
        </w:rPr>
        <w:t>outputów</w:t>
      </w:r>
      <w:proofErr w:type="spellEnd"/>
      <w:r w:rsidRPr="00664B7A">
        <w:rPr>
          <w:b/>
          <w:bCs/>
        </w:rPr>
        <w:t xml:space="preserve"> narzędzia</w:t>
      </w:r>
    </w:p>
    <w:p w14:paraId="097781B6" w14:textId="7D0FF069" w:rsidR="00664B7A" w:rsidRDefault="00664B7A" w:rsidP="00664B7A">
      <w:pPr>
        <w:rPr>
          <w:b/>
          <w:bCs/>
        </w:rPr>
      </w:pPr>
      <w:r w:rsidRPr="00664B7A">
        <w:rPr>
          <w:b/>
          <w:bCs/>
          <w:noProof/>
        </w:rPr>
        <w:drawing>
          <wp:inline distT="0" distB="0" distL="0" distR="0" wp14:anchorId="6786ED52" wp14:editId="5E532EF2">
            <wp:extent cx="5731510" cy="2601595"/>
            <wp:effectExtent l="0" t="0" r="2540" b="8255"/>
            <wp:docPr id="208290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0108" name="Picture 1" descr="A screenshot of a computer&#10;&#10;Description automatically generated"/>
                    <pic:cNvPicPr/>
                  </pic:nvPicPr>
                  <pic:blipFill>
                    <a:blip r:embed="rId7"/>
                    <a:stretch>
                      <a:fillRect/>
                    </a:stretch>
                  </pic:blipFill>
                  <pic:spPr>
                    <a:xfrm>
                      <a:off x="0" y="0"/>
                      <a:ext cx="5731510" cy="2601595"/>
                    </a:xfrm>
                    <a:prstGeom prst="rect">
                      <a:avLst/>
                    </a:prstGeom>
                  </pic:spPr>
                </pic:pic>
              </a:graphicData>
            </a:graphic>
          </wp:inline>
        </w:drawing>
      </w:r>
    </w:p>
    <w:p w14:paraId="70EBE5F1" w14:textId="6CF6225D" w:rsidR="007E516A" w:rsidRDefault="007E516A" w:rsidP="00664B7A">
      <w:r w:rsidRPr="007E516A">
        <w:t xml:space="preserve">Statystyki z narzędzia </w:t>
      </w:r>
      <w:proofErr w:type="spellStart"/>
      <w:r w:rsidRPr="007E516A">
        <w:t>featureCounts</w:t>
      </w:r>
      <w:proofErr w:type="spellEnd"/>
      <w:r w:rsidRPr="007E516A">
        <w:t xml:space="preserve"> pokazane na załączonym obrazie przedstawiają liczby przypisanych i nieprzypisanych odczytów w pliku BAM dla próbki MCL1-DL. </w:t>
      </w:r>
      <w:proofErr w:type="spellStart"/>
      <w:r w:rsidRPr="007E516A">
        <w:t>FeatureCounts</w:t>
      </w:r>
      <w:proofErr w:type="spellEnd"/>
      <w:r w:rsidRPr="007E516A">
        <w:t xml:space="preserve"> to narzędzie do liczenia odczytów w genomie lub </w:t>
      </w:r>
      <w:proofErr w:type="spellStart"/>
      <w:r w:rsidRPr="007E516A">
        <w:t>transkryptomie</w:t>
      </w:r>
      <w:proofErr w:type="spellEnd"/>
      <w:r w:rsidRPr="007E516A">
        <w:t>, które przypisuje odczyty do konkretnych genów lub innych funkcji genomowych na podstawie pliku BAM.</w:t>
      </w:r>
    </w:p>
    <w:p w14:paraId="099BF498" w14:textId="77777777" w:rsidR="007E516A" w:rsidRPr="007E516A" w:rsidRDefault="007E516A" w:rsidP="007E516A">
      <w:r w:rsidRPr="007E516A">
        <w:t>Oto szczegóły poszczególnych kategorii:</w:t>
      </w:r>
    </w:p>
    <w:p w14:paraId="3F03169A" w14:textId="77777777" w:rsidR="007E516A" w:rsidRPr="007E516A" w:rsidRDefault="007E516A" w:rsidP="007E516A">
      <w:pPr>
        <w:numPr>
          <w:ilvl w:val="0"/>
          <w:numId w:val="2"/>
        </w:numPr>
      </w:pPr>
      <w:proofErr w:type="spellStart"/>
      <w:r w:rsidRPr="007E516A">
        <w:rPr>
          <w:b/>
          <w:bCs/>
        </w:rPr>
        <w:t>Assigned</w:t>
      </w:r>
      <w:proofErr w:type="spellEnd"/>
      <w:r w:rsidRPr="007E516A">
        <w:t>: 765</w:t>
      </w:r>
    </w:p>
    <w:p w14:paraId="7486F24D" w14:textId="77777777" w:rsidR="007E516A" w:rsidRPr="007E516A" w:rsidRDefault="007E516A" w:rsidP="007E516A">
      <w:pPr>
        <w:numPr>
          <w:ilvl w:val="1"/>
          <w:numId w:val="2"/>
        </w:numPr>
      </w:pPr>
      <w:r w:rsidRPr="007E516A">
        <w:t>Liczba odczytów poprawnie przypisanych do funkcji (genów). Są to odczyty, które spełniają kryteria przypisania i zostały zliczone do określonych funkcji.</w:t>
      </w:r>
    </w:p>
    <w:p w14:paraId="780A6470" w14:textId="77777777" w:rsidR="007E516A" w:rsidRPr="007E516A" w:rsidRDefault="007E516A" w:rsidP="007E516A">
      <w:pPr>
        <w:numPr>
          <w:ilvl w:val="0"/>
          <w:numId w:val="2"/>
        </w:numPr>
      </w:pPr>
      <w:proofErr w:type="spellStart"/>
      <w:r w:rsidRPr="007E516A">
        <w:rPr>
          <w:b/>
          <w:bCs/>
        </w:rPr>
        <w:t>Unassigned_Unmapped</w:t>
      </w:r>
      <w:proofErr w:type="spellEnd"/>
      <w:r w:rsidRPr="007E516A">
        <w:t>: 40</w:t>
      </w:r>
    </w:p>
    <w:p w14:paraId="41BC0F41" w14:textId="77777777" w:rsidR="007E516A" w:rsidRPr="007E516A" w:rsidRDefault="007E516A" w:rsidP="007E516A">
      <w:pPr>
        <w:numPr>
          <w:ilvl w:val="1"/>
          <w:numId w:val="2"/>
        </w:numPr>
      </w:pPr>
      <w:r w:rsidRPr="007E516A">
        <w:lastRenderedPageBreak/>
        <w:t xml:space="preserve">Odczyty, które nie zostały przypisane, ponieważ nie udało się ich zmapować na genom lub </w:t>
      </w:r>
      <w:proofErr w:type="spellStart"/>
      <w:r w:rsidRPr="007E516A">
        <w:t>transkryptom</w:t>
      </w:r>
      <w:proofErr w:type="spellEnd"/>
      <w:r w:rsidRPr="007E516A">
        <w:t>. Mogą to być np. odczyty o niskiej jakości mapowania.</w:t>
      </w:r>
    </w:p>
    <w:p w14:paraId="66A2001C" w14:textId="77777777" w:rsidR="007E516A" w:rsidRPr="007E516A" w:rsidRDefault="007E516A" w:rsidP="007E516A">
      <w:pPr>
        <w:numPr>
          <w:ilvl w:val="0"/>
          <w:numId w:val="2"/>
        </w:numPr>
      </w:pPr>
      <w:proofErr w:type="spellStart"/>
      <w:r w:rsidRPr="007E516A">
        <w:rPr>
          <w:b/>
          <w:bCs/>
        </w:rPr>
        <w:t>Unassigned_MultiMapping</w:t>
      </w:r>
      <w:proofErr w:type="spellEnd"/>
      <w:r w:rsidRPr="007E516A">
        <w:t>: 192</w:t>
      </w:r>
    </w:p>
    <w:p w14:paraId="6FEB27A8" w14:textId="77777777" w:rsidR="007E516A" w:rsidRPr="007E516A" w:rsidRDefault="007E516A" w:rsidP="007E516A">
      <w:pPr>
        <w:numPr>
          <w:ilvl w:val="1"/>
          <w:numId w:val="2"/>
        </w:numPr>
      </w:pPr>
      <w:r w:rsidRPr="007E516A">
        <w:t>Odczyty, które nie zostały przypisane, ponieważ zmapowały się w więcej niż jednym miejscu (wielokrotne mapowanie). Zazwyczaj odczyty takie są pomijane, aby uniknąć niepewności w przypisaniu.</w:t>
      </w:r>
    </w:p>
    <w:p w14:paraId="2B5D510B" w14:textId="77777777" w:rsidR="007E516A" w:rsidRPr="007E516A" w:rsidRDefault="007E516A" w:rsidP="007E516A">
      <w:pPr>
        <w:numPr>
          <w:ilvl w:val="0"/>
          <w:numId w:val="2"/>
        </w:numPr>
      </w:pPr>
      <w:proofErr w:type="spellStart"/>
      <w:r w:rsidRPr="007E516A">
        <w:rPr>
          <w:b/>
          <w:bCs/>
        </w:rPr>
        <w:t>Unassigned_NoFeatures</w:t>
      </w:r>
      <w:proofErr w:type="spellEnd"/>
      <w:r w:rsidRPr="007E516A">
        <w:t>: 91</w:t>
      </w:r>
    </w:p>
    <w:p w14:paraId="35FAD3F6" w14:textId="77777777" w:rsidR="007E516A" w:rsidRPr="007E516A" w:rsidRDefault="007E516A" w:rsidP="007E516A">
      <w:pPr>
        <w:numPr>
          <w:ilvl w:val="1"/>
          <w:numId w:val="2"/>
        </w:numPr>
      </w:pPr>
      <w:r w:rsidRPr="007E516A">
        <w:t xml:space="preserve">Odczyty, które nie zostały przypisane, ponieważ nie pokrywają żadnych funkcji (genów) w pliku referencyjnym. Mogły one zmapować się do regionów niekodujących lub regionów </w:t>
      </w:r>
      <w:proofErr w:type="spellStart"/>
      <w:r w:rsidRPr="007E516A">
        <w:t>międzygenowych</w:t>
      </w:r>
      <w:proofErr w:type="spellEnd"/>
      <w:r w:rsidRPr="007E516A">
        <w:t>.</w:t>
      </w:r>
    </w:p>
    <w:p w14:paraId="72A24A59" w14:textId="77777777" w:rsidR="007E516A" w:rsidRPr="007E516A" w:rsidRDefault="007E516A" w:rsidP="007E516A">
      <w:pPr>
        <w:numPr>
          <w:ilvl w:val="0"/>
          <w:numId w:val="2"/>
        </w:numPr>
      </w:pPr>
      <w:proofErr w:type="spellStart"/>
      <w:r w:rsidRPr="007E516A">
        <w:rPr>
          <w:b/>
          <w:bCs/>
        </w:rPr>
        <w:t>Unassigned_Ambiguity</w:t>
      </w:r>
      <w:proofErr w:type="spellEnd"/>
      <w:r w:rsidRPr="007E516A">
        <w:t>: 36</w:t>
      </w:r>
    </w:p>
    <w:p w14:paraId="570B2B32" w14:textId="77777777" w:rsidR="007E516A" w:rsidRPr="007E516A" w:rsidRDefault="007E516A" w:rsidP="007E516A">
      <w:pPr>
        <w:numPr>
          <w:ilvl w:val="1"/>
          <w:numId w:val="2"/>
        </w:numPr>
      </w:pPr>
      <w:r w:rsidRPr="007E516A">
        <w:t xml:space="preserve">Odczyty, które nie zostały przypisane, ponieważ były ambiwalentnie przypisane do więcej niż jednej funkcji. Narzędzie </w:t>
      </w:r>
      <w:proofErr w:type="spellStart"/>
      <w:r w:rsidRPr="007E516A">
        <w:t>featureCounts</w:t>
      </w:r>
      <w:proofErr w:type="spellEnd"/>
      <w:r w:rsidRPr="007E516A">
        <w:t xml:space="preserve"> nie przypisuje takich odczytów, aby uniknąć błędów wynikających z niejednoznacznego przypisania.</w:t>
      </w:r>
    </w:p>
    <w:p w14:paraId="62850889" w14:textId="77777777" w:rsidR="007E516A" w:rsidRPr="007E516A" w:rsidRDefault="007E516A" w:rsidP="007E516A">
      <w:pPr>
        <w:rPr>
          <w:b/>
          <w:bCs/>
        </w:rPr>
      </w:pPr>
      <w:r w:rsidRPr="007E516A">
        <w:rPr>
          <w:b/>
          <w:bCs/>
        </w:rPr>
        <w:t>Podsumowanie</w:t>
      </w:r>
    </w:p>
    <w:p w14:paraId="24A554C6" w14:textId="77777777" w:rsidR="007E516A" w:rsidRPr="007E516A" w:rsidRDefault="007E516A" w:rsidP="007E516A">
      <w:pPr>
        <w:numPr>
          <w:ilvl w:val="0"/>
          <w:numId w:val="3"/>
        </w:numPr>
      </w:pPr>
      <w:r w:rsidRPr="007E516A">
        <w:t xml:space="preserve">Łącznie przypisanych odczytów: </w:t>
      </w:r>
      <w:r w:rsidRPr="007E516A">
        <w:rPr>
          <w:b/>
          <w:bCs/>
        </w:rPr>
        <w:t>765</w:t>
      </w:r>
    </w:p>
    <w:p w14:paraId="75B20412" w14:textId="77777777" w:rsidR="007E516A" w:rsidRPr="007E516A" w:rsidRDefault="007E516A" w:rsidP="007E516A">
      <w:pPr>
        <w:numPr>
          <w:ilvl w:val="0"/>
          <w:numId w:val="3"/>
        </w:numPr>
      </w:pPr>
      <w:r w:rsidRPr="007E516A">
        <w:t>Łącznie nieprzypisanych odczytów: suma odczytów we wszystkich kategoriach "</w:t>
      </w:r>
      <w:proofErr w:type="spellStart"/>
      <w:r w:rsidRPr="007E516A">
        <w:t>Unassigned</w:t>
      </w:r>
      <w:proofErr w:type="spellEnd"/>
      <w:r w:rsidRPr="007E516A">
        <w:t>" (40 + 192 + 91 + 36 = 359)</w:t>
      </w:r>
    </w:p>
    <w:p w14:paraId="13663C64" w14:textId="77777777" w:rsidR="007E516A" w:rsidRPr="007E516A" w:rsidRDefault="007E516A" w:rsidP="00664B7A"/>
    <w:p w14:paraId="08092084" w14:textId="06114EE7" w:rsidR="00664B7A" w:rsidRDefault="00B43077">
      <w:pPr>
        <w:rPr>
          <w:b/>
          <w:bCs/>
        </w:rPr>
      </w:pPr>
      <w:r w:rsidRPr="00B43077">
        <w:rPr>
          <w:b/>
          <w:bCs/>
        </w:rPr>
        <w:t xml:space="preserve">Zadanie: Opisz co znajduje się w pliku </w:t>
      </w:r>
      <w:proofErr w:type="spellStart"/>
      <w:r w:rsidRPr="00B43077">
        <w:rPr>
          <w:b/>
          <w:bCs/>
        </w:rPr>
        <w:t>factordata</w:t>
      </w:r>
      <w:proofErr w:type="spellEnd"/>
    </w:p>
    <w:p w14:paraId="582A0EDD" w14:textId="659CCB19" w:rsidR="00B43077" w:rsidRDefault="00B43077">
      <w:pPr>
        <w:rPr>
          <w:b/>
          <w:bCs/>
        </w:rPr>
      </w:pPr>
      <w:r w:rsidRPr="00B43077">
        <w:rPr>
          <w:b/>
          <w:bCs/>
          <w:noProof/>
        </w:rPr>
        <w:drawing>
          <wp:inline distT="0" distB="0" distL="0" distR="0" wp14:anchorId="4B285ED0" wp14:editId="43446C81">
            <wp:extent cx="5731510" cy="2298700"/>
            <wp:effectExtent l="0" t="0" r="2540" b="6350"/>
            <wp:docPr id="1690232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32930" name="Picture 1" descr="A screenshot of a computer&#10;&#10;Description automatically generated"/>
                    <pic:cNvPicPr/>
                  </pic:nvPicPr>
                  <pic:blipFill>
                    <a:blip r:embed="rId8"/>
                    <a:stretch>
                      <a:fillRect/>
                    </a:stretch>
                  </pic:blipFill>
                  <pic:spPr>
                    <a:xfrm>
                      <a:off x="0" y="0"/>
                      <a:ext cx="5731510" cy="2298700"/>
                    </a:xfrm>
                    <a:prstGeom prst="rect">
                      <a:avLst/>
                    </a:prstGeom>
                  </pic:spPr>
                </pic:pic>
              </a:graphicData>
            </a:graphic>
          </wp:inline>
        </w:drawing>
      </w:r>
    </w:p>
    <w:p w14:paraId="7E9D946D" w14:textId="4832E0E3" w:rsidR="00A11E11" w:rsidRPr="007E516A" w:rsidRDefault="00B43077">
      <w:r w:rsidRPr="00A11E11">
        <w:t>Id próbki i do jakiej grupy należy</w:t>
      </w:r>
      <w:r w:rsidR="00763898">
        <w:t xml:space="preserve"> (</w:t>
      </w:r>
      <w:proofErr w:type="spellStart"/>
      <w:r w:rsidR="00763898">
        <w:t>CellTypeStatus</w:t>
      </w:r>
      <w:proofErr w:type="spellEnd"/>
      <w:r w:rsidR="00763898">
        <w:t>)</w:t>
      </w:r>
    </w:p>
    <w:p w14:paraId="337BA2D8" w14:textId="1D79E8B5" w:rsidR="00A11E11" w:rsidRDefault="00A11E11">
      <w:pPr>
        <w:rPr>
          <w:b/>
          <w:bCs/>
        </w:rPr>
      </w:pPr>
      <w:r w:rsidRPr="00A11E11">
        <w:rPr>
          <w:b/>
          <w:bCs/>
        </w:rPr>
        <w:lastRenderedPageBreak/>
        <w:t xml:space="preserve">Zadanie: Opisz co znajduje się w pliku </w:t>
      </w:r>
      <w:proofErr w:type="spellStart"/>
      <w:r w:rsidRPr="00A11E11">
        <w:rPr>
          <w:b/>
          <w:bCs/>
        </w:rPr>
        <w:t>annotations</w:t>
      </w:r>
      <w:proofErr w:type="spellEnd"/>
    </w:p>
    <w:p w14:paraId="64D2E64D" w14:textId="3AD19F0A" w:rsidR="00A11E11" w:rsidRDefault="00A11E11">
      <w:pPr>
        <w:rPr>
          <w:b/>
          <w:bCs/>
        </w:rPr>
      </w:pPr>
      <w:r w:rsidRPr="00A11E11">
        <w:rPr>
          <w:b/>
          <w:bCs/>
          <w:noProof/>
        </w:rPr>
        <w:drawing>
          <wp:inline distT="0" distB="0" distL="0" distR="0" wp14:anchorId="16CF1163" wp14:editId="3DC4D56A">
            <wp:extent cx="5731510" cy="3484880"/>
            <wp:effectExtent l="0" t="0" r="2540" b="1270"/>
            <wp:docPr id="307745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45098" name="Picture 1" descr="A screenshot of a computer&#10;&#10;Description automatically generated"/>
                    <pic:cNvPicPr/>
                  </pic:nvPicPr>
                  <pic:blipFill>
                    <a:blip r:embed="rId9"/>
                    <a:stretch>
                      <a:fillRect/>
                    </a:stretch>
                  </pic:blipFill>
                  <pic:spPr>
                    <a:xfrm>
                      <a:off x="0" y="0"/>
                      <a:ext cx="5731510" cy="3484880"/>
                    </a:xfrm>
                    <a:prstGeom prst="rect">
                      <a:avLst/>
                    </a:prstGeom>
                  </pic:spPr>
                </pic:pic>
              </a:graphicData>
            </a:graphic>
          </wp:inline>
        </w:drawing>
      </w:r>
    </w:p>
    <w:p w14:paraId="7649D977" w14:textId="02F355AD" w:rsidR="00A11E11" w:rsidRDefault="00A11E11">
      <w:r w:rsidRPr="00A11E11">
        <w:t xml:space="preserve">Zawierają </w:t>
      </w:r>
      <w:proofErr w:type="spellStart"/>
      <w:r w:rsidRPr="00A11E11">
        <w:t>enterez</w:t>
      </w:r>
      <w:proofErr w:type="spellEnd"/>
      <w:r w:rsidRPr="00A11E11">
        <w:t xml:space="preserve"> id, symbol genu i nazwę genu.</w:t>
      </w:r>
    </w:p>
    <w:p w14:paraId="77D13CA3" w14:textId="77777777" w:rsidR="00A11E11" w:rsidRDefault="00A11E11">
      <w:pPr>
        <w:rPr>
          <w:b/>
          <w:bCs/>
        </w:rPr>
      </w:pPr>
      <w:r w:rsidRPr="00A11E11">
        <w:rPr>
          <w:b/>
          <w:bCs/>
        </w:rPr>
        <w:t>Zadanie: Opisz co oznacza sekcja “</w:t>
      </w:r>
      <w:proofErr w:type="spellStart"/>
      <w:r w:rsidRPr="00A11E11">
        <w:rPr>
          <w:b/>
          <w:bCs/>
        </w:rPr>
        <w:t>Contrast</w:t>
      </w:r>
      <w:proofErr w:type="spellEnd"/>
      <w:r w:rsidRPr="00A11E11">
        <w:rPr>
          <w:b/>
          <w:bCs/>
        </w:rPr>
        <w:t xml:space="preserve"> of </w:t>
      </w:r>
      <w:proofErr w:type="spellStart"/>
      <w:r w:rsidRPr="00A11E11">
        <w:rPr>
          <w:b/>
          <w:bCs/>
        </w:rPr>
        <w:t>Interest</w:t>
      </w:r>
      <w:proofErr w:type="spellEnd"/>
      <w:r w:rsidRPr="00A11E11">
        <w:rPr>
          <w:b/>
          <w:bCs/>
        </w:rPr>
        <w:t xml:space="preserve">” </w:t>
      </w:r>
    </w:p>
    <w:p w14:paraId="570FE8B0" w14:textId="160C10CC" w:rsidR="00A11E11" w:rsidRDefault="00A11E11">
      <w:r w:rsidRPr="00A11E11">
        <w:t>Termin "</w:t>
      </w:r>
      <w:proofErr w:type="spellStart"/>
      <w:r w:rsidRPr="00A11E11">
        <w:t>contrast</w:t>
      </w:r>
      <w:proofErr w:type="spellEnd"/>
      <w:r w:rsidRPr="00A11E11">
        <w:t xml:space="preserve"> of </w:t>
      </w:r>
      <w:proofErr w:type="spellStart"/>
      <w:r w:rsidRPr="00A11E11">
        <w:t>interest</w:t>
      </w:r>
      <w:proofErr w:type="spellEnd"/>
      <w:r w:rsidRPr="00A11E11">
        <w:t xml:space="preserve">" odnosi się do porównania, które jest kluczowe dla danej analizy danych ekspresji genów. </w:t>
      </w:r>
    </w:p>
    <w:p w14:paraId="0E9B3F12" w14:textId="1ADAD110" w:rsidR="00A11E11" w:rsidRDefault="00A11E11">
      <w:r w:rsidRPr="00A11E11">
        <w:t>"</w:t>
      </w:r>
      <w:proofErr w:type="spellStart"/>
      <w:r w:rsidRPr="00A11E11">
        <w:t>Contrast</w:t>
      </w:r>
      <w:proofErr w:type="spellEnd"/>
      <w:r w:rsidRPr="00A11E11">
        <w:t xml:space="preserve">" w kontekście narzędzia </w:t>
      </w:r>
      <w:proofErr w:type="spellStart"/>
      <w:r w:rsidRPr="00A11E11">
        <w:t>limma</w:t>
      </w:r>
      <w:proofErr w:type="spellEnd"/>
      <w:r w:rsidRPr="00A11E11">
        <w:t xml:space="preserve"> oznacza różnicę między dwiema grupami lub warunkami, które chcemy porównać. Kontrast może obejmować porównania między różnymi typami próbek (np. chory vs. zdrowy, przed leczeniem vs. po leczeniu) lub różnymi warunkami eksperymentalnymi.</w:t>
      </w:r>
    </w:p>
    <w:p w14:paraId="44DD7594" w14:textId="77777777" w:rsidR="007E516A" w:rsidRDefault="007E516A">
      <w:r w:rsidRPr="007E516A">
        <w:t>"</w:t>
      </w:r>
      <w:proofErr w:type="spellStart"/>
      <w:r w:rsidRPr="007E516A">
        <w:t>Contrast</w:t>
      </w:r>
      <w:proofErr w:type="spellEnd"/>
      <w:r w:rsidRPr="007E516A">
        <w:t xml:space="preserve"> of </w:t>
      </w:r>
      <w:proofErr w:type="spellStart"/>
      <w:r w:rsidRPr="007E516A">
        <w:t>interest</w:t>
      </w:r>
      <w:proofErr w:type="spellEnd"/>
      <w:r w:rsidRPr="007E516A">
        <w:t xml:space="preserve">" to konkretny kontrast, który jest przedmiotem zainteresowania w analizie, czyli porównanie, które ma dostarczyć istotnych biologicznie informacji. Użytkownik określa ten kontrast w </w:t>
      </w:r>
      <w:proofErr w:type="spellStart"/>
      <w:r w:rsidRPr="007E516A">
        <w:t>limma</w:t>
      </w:r>
      <w:proofErr w:type="spellEnd"/>
      <w:r w:rsidRPr="007E516A">
        <w:t>, aby dowiedzieć się, które geny są różnie wyrażane między grupami (np. które geny są istotnie zmienione w grupie chorych w porównaniu do grupy zdrowych).</w:t>
      </w:r>
    </w:p>
    <w:p w14:paraId="2CA89C33" w14:textId="0C0F5FDE" w:rsidR="00A11E11" w:rsidRDefault="00A11E11">
      <w:pPr>
        <w:rPr>
          <w:b/>
          <w:bCs/>
        </w:rPr>
      </w:pPr>
      <w:r w:rsidRPr="00A11E11">
        <w:rPr>
          <w:b/>
          <w:bCs/>
        </w:rPr>
        <w:t>Zadanie: Opisz uzyskane wyniki, wskaż geny wyraźnie różnicujące próbki, załącz dwa dowolne wykresy popierające interpretację</w:t>
      </w:r>
    </w:p>
    <w:p w14:paraId="57EEE929" w14:textId="77777777" w:rsidR="00D84EA9" w:rsidRDefault="00D84EA9">
      <w:pPr>
        <w:rPr>
          <w:b/>
          <w:bCs/>
        </w:rPr>
      </w:pPr>
    </w:p>
    <w:p w14:paraId="1B913ED7" w14:textId="77777777" w:rsidR="00D84EA9" w:rsidRDefault="00D84EA9">
      <w:pPr>
        <w:rPr>
          <w:b/>
          <w:bCs/>
        </w:rPr>
      </w:pPr>
    </w:p>
    <w:p w14:paraId="4B2B4480" w14:textId="77777777" w:rsidR="00D84EA9" w:rsidRDefault="00D84EA9">
      <w:pPr>
        <w:rPr>
          <w:b/>
          <w:bCs/>
        </w:rPr>
      </w:pPr>
    </w:p>
    <w:p w14:paraId="2C0472E4" w14:textId="77777777" w:rsidR="00D84EA9" w:rsidRPr="00D84EA9" w:rsidRDefault="00D84EA9" w:rsidP="00D84EA9">
      <w:r w:rsidRPr="00D84EA9">
        <w:lastRenderedPageBreak/>
        <w:t>Spośród genów różnicujących próbki, szczególnie wyróżniają się:</w:t>
      </w:r>
    </w:p>
    <w:p w14:paraId="41B85844" w14:textId="77777777" w:rsidR="00D84EA9" w:rsidRPr="00D84EA9" w:rsidRDefault="00D84EA9" w:rsidP="00D84EA9">
      <w:pPr>
        <w:numPr>
          <w:ilvl w:val="0"/>
          <w:numId w:val="4"/>
        </w:numPr>
        <w:rPr>
          <w:lang w:val="en-GB"/>
        </w:rPr>
      </w:pPr>
      <w:proofErr w:type="spellStart"/>
      <w:r w:rsidRPr="00D84EA9">
        <w:rPr>
          <w:b/>
          <w:bCs/>
          <w:lang w:val="en-GB"/>
        </w:rPr>
        <w:t>Pclaf</w:t>
      </w:r>
      <w:proofErr w:type="spellEnd"/>
      <w:r w:rsidRPr="00D84EA9">
        <w:rPr>
          <w:lang w:val="en-GB"/>
        </w:rPr>
        <w:t xml:space="preserve"> (PCNA clamp associated factor) - </w:t>
      </w:r>
      <w:proofErr w:type="spellStart"/>
      <w:r w:rsidRPr="00D84EA9">
        <w:rPr>
          <w:lang w:val="en-GB"/>
        </w:rPr>
        <w:t>logFC</w:t>
      </w:r>
      <w:proofErr w:type="spellEnd"/>
      <w:r w:rsidRPr="00D84EA9">
        <w:rPr>
          <w:lang w:val="en-GB"/>
        </w:rPr>
        <w:t xml:space="preserve">: 4.58, </w:t>
      </w:r>
      <w:proofErr w:type="spellStart"/>
      <w:r w:rsidRPr="00D84EA9">
        <w:rPr>
          <w:lang w:val="en-GB"/>
        </w:rPr>
        <w:t>adj.P.Val</w:t>
      </w:r>
      <w:proofErr w:type="spellEnd"/>
      <w:r w:rsidRPr="00D84EA9">
        <w:rPr>
          <w:lang w:val="en-GB"/>
        </w:rPr>
        <w:t>: 0.037</w:t>
      </w:r>
    </w:p>
    <w:p w14:paraId="581EEE76" w14:textId="77777777" w:rsidR="00D84EA9" w:rsidRPr="00D84EA9" w:rsidRDefault="00D84EA9" w:rsidP="00D84EA9">
      <w:pPr>
        <w:numPr>
          <w:ilvl w:val="0"/>
          <w:numId w:val="4"/>
        </w:numPr>
        <w:rPr>
          <w:lang w:val="en-GB"/>
        </w:rPr>
      </w:pPr>
      <w:r w:rsidRPr="00D84EA9">
        <w:rPr>
          <w:b/>
          <w:bCs/>
          <w:lang w:val="en-GB"/>
        </w:rPr>
        <w:t>C3</w:t>
      </w:r>
      <w:r w:rsidRPr="00D84EA9">
        <w:rPr>
          <w:lang w:val="en-GB"/>
        </w:rPr>
        <w:t xml:space="preserve"> (complement component 3) - </w:t>
      </w:r>
      <w:proofErr w:type="spellStart"/>
      <w:r w:rsidRPr="00D84EA9">
        <w:rPr>
          <w:lang w:val="en-GB"/>
        </w:rPr>
        <w:t>logFC</w:t>
      </w:r>
      <w:proofErr w:type="spellEnd"/>
      <w:r w:rsidRPr="00D84EA9">
        <w:rPr>
          <w:lang w:val="en-GB"/>
        </w:rPr>
        <w:t xml:space="preserve">: 4.02, </w:t>
      </w:r>
      <w:proofErr w:type="spellStart"/>
      <w:r w:rsidRPr="00D84EA9">
        <w:rPr>
          <w:lang w:val="en-GB"/>
        </w:rPr>
        <w:t>adj.P.Val</w:t>
      </w:r>
      <w:proofErr w:type="spellEnd"/>
      <w:r w:rsidRPr="00D84EA9">
        <w:rPr>
          <w:lang w:val="en-GB"/>
        </w:rPr>
        <w:t>: 0.048</w:t>
      </w:r>
    </w:p>
    <w:p w14:paraId="35AF02D4" w14:textId="77777777" w:rsidR="00D84EA9" w:rsidRPr="00D84EA9" w:rsidRDefault="00D84EA9" w:rsidP="00D84EA9">
      <w:pPr>
        <w:numPr>
          <w:ilvl w:val="0"/>
          <w:numId w:val="4"/>
        </w:numPr>
        <w:rPr>
          <w:lang w:val="en-GB"/>
        </w:rPr>
      </w:pPr>
      <w:r w:rsidRPr="00D84EA9">
        <w:rPr>
          <w:b/>
          <w:bCs/>
          <w:lang w:val="en-GB"/>
        </w:rPr>
        <w:t>Mpeg1</w:t>
      </w:r>
      <w:r w:rsidRPr="00D84EA9">
        <w:rPr>
          <w:lang w:val="en-GB"/>
        </w:rPr>
        <w:t xml:space="preserve"> (macrophage expressed gene 1) - </w:t>
      </w:r>
      <w:proofErr w:type="spellStart"/>
      <w:r w:rsidRPr="00D84EA9">
        <w:rPr>
          <w:lang w:val="en-GB"/>
        </w:rPr>
        <w:t>logFC</w:t>
      </w:r>
      <w:proofErr w:type="spellEnd"/>
      <w:r w:rsidRPr="00D84EA9">
        <w:rPr>
          <w:lang w:val="en-GB"/>
        </w:rPr>
        <w:t xml:space="preserve">: 3.85, </w:t>
      </w:r>
      <w:proofErr w:type="spellStart"/>
      <w:r w:rsidRPr="00D84EA9">
        <w:rPr>
          <w:lang w:val="en-GB"/>
        </w:rPr>
        <w:t>adj.P.Val</w:t>
      </w:r>
      <w:proofErr w:type="spellEnd"/>
      <w:r w:rsidRPr="00D84EA9">
        <w:rPr>
          <w:lang w:val="en-GB"/>
        </w:rPr>
        <w:t>: 0.035</w:t>
      </w:r>
    </w:p>
    <w:p w14:paraId="160C5051" w14:textId="77777777" w:rsidR="00D84EA9" w:rsidRPr="00D84EA9" w:rsidRDefault="00D84EA9" w:rsidP="00D84EA9">
      <w:pPr>
        <w:numPr>
          <w:ilvl w:val="0"/>
          <w:numId w:val="4"/>
        </w:numPr>
        <w:rPr>
          <w:lang w:val="en-GB"/>
        </w:rPr>
      </w:pPr>
      <w:r w:rsidRPr="00D84EA9">
        <w:rPr>
          <w:b/>
          <w:bCs/>
          <w:lang w:val="en-GB"/>
        </w:rPr>
        <w:t>Sfrp2</w:t>
      </w:r>
      <w:r w:rsidRPr="00D84EA9">
        <w:rPr>
          <w:lang w:val="en-GB"/>
        </w:rPr>
        <w:t xml:space="preserve"> (secreted frizzled-related protein 2) - </w:t>
      </w:r>
      <w:proofErr w:type="spellStart"/>
      <w:r w:rsidRPr="00D84EA9">
        <w:rPr>
          <w:lang w:val="en-GB"/>
        </w:rPr>
        <w:t>logFC</w:t>
      </w:r>
      <w:proofErr w:type="spellEnd"/>
      <w:r w:rsidRPr="00D84EA9">
        <w:rPr>
          <w:lang w:val="en-GB"/>
        </w:rPr>
        <w:t xml:space="preserve">: 3.38, </w:t>
      </w:r>
      <w:proofErr w:type="spellStart"/>
      <w:r w:rsidRPr="00D84EA9">
        <w:rPr>
          <w:lang w:val="en-GB"/>
        </w:rPr>
        <w:t>adj.P.Val</w:t>
      </w:r>
      <w:proofErr w:type="spellEnd"/>
      <w:r w:rsidRPr="00D84EA9">
        <w:rPr>
          <w:lang w:val="en-GB"/>
        </w:rPr>
        <w:t>: 0.027</w:t>
      </w:r>
    </w:p>
    <w:p w14:paraId="7171E9F9" w14:textId="77777777" w:rsidR="00D84EA9" w:rsidRPr="00D84EA9" w:rsidRDefault="00D84EA9" w:rsidP="00D84EA9">
      <w:pPr>
        <w:numPr>
          <w:ilvl w:val="0"/>
          <w:numId w:val="4"/>
        </w:numPr>
        <w:rPr>
          <w:lang w:val="en-GB"/>
        </w:rPr>
      </w:pPr>
      <w:r w:rsidRPr="00D84EA9">
        <w:rPr>
          <w:b/>
          <w:bCs/>
          <w:lang w:val="en-GB"/>
        </w:rPr>
        <w:t>Prrg4</w:t>
      </w:r>
      <w:r w:rsidRPr="00D84EA9">
        <w:rPr>
          <w:lang w:val="en-GB"/>
        </w:rPr>
        <w:t xml:space="preserve"> - </w:t>
      </w:r>
      <w:proofErr w:type="spellStart"/>
      <w:r w:rsidRPr="00D84EA9">
        <w:rPr>
          <w:lang w:val="en-GB"/>
        </w:rPr>
        <w:t>logFC</w:t>
      </w:r>
      <w:proofErr w:type="spellEnd"/>
      <w:r w:rsidRPr="00D84EA9">
        <w:rPr>
          <w:lang w:val="en-GB"/>
        </w:rPr>
        <w:t xml:space="preserve">: 3.29, </w:t>
      </w:r>
      <w:proofErr w:type="spellStart"/>
      <w:r w:rsidRPr="00D84EA9">
        <w:rPr>
          <w:lang w:val="en-GB"/>
        </w:rPr>
        <w:t>adj.P.Val</w:t>
      </w:r>
      <w:proofErr w:type="spellEnd"/>
      <w:r w:rsidRPr="00D84EA9">
        <w:rPr>
          <w:lang w:val="en-GB"/>
        </w:rPr>
        <w:t>: 0.027</w:t>
      </w:r>
    </w:p>
    <w:p w14:paraId="3A29D84A" w14:textId="77777777" w:rsidR="00D84EA9" w:rsidRDefault="00D84EA9" w:rsidP="00D84EA9">
      <w:r w:rsidRPr="00D84EA9">
        <w:t xml:space="preserve">Te geny charakteryzują się zarówno dużą wartością </w:t>
      </w:r>
      <w:proofErr w:type="spellStart"/>
      <w:r w:rsidRPr="00D84EA9">
        <w:t>logFC</w:t>
      </w:r>
      <w:proofErr w:type="spellEnd"/>
      <w:r w:rsidRPr="00D84EA9">
        <w:t>, jak i niską wartością skorygowaną p, co sugeruje, że mogą pełnić kluczową rolę w różnicach między analizowanymi próbkami.</w:t>
      </w:r>
    </w:p>
    <w:p w14:paraId="6C270419" w14:textId="77777777" w:rsidR="00D84EA9" w:rsidRDefault="00D84EA9" w:rsidP="00D84EA9"/>
    <w:p w14:paraId="1FCA1887" w14:textId="73C27288" w:rsidR="00D84EA9" w:rsidRPr="00D84EA9" w:rsidRDefault="00D84EA9" w:rsidP="00D84EA9">
      <w:r w:rsidRPr="00D84EA9">
        <w:rPr>
          <w:b/>
          <w:bCs/>
        </w:rPr>
        <w:t>Volcano Plot</w:t>
      </w:r>
      <w:r w:rsidRPr="00D84EA9">
        <w:t xml:space="preserve"> (z pliku volplot_basalpregnant-basallactate.pdf) pokazuje rozkład genów na podstawie ich wartości log2 </w:t>
      </w:r>
      <w:proofErr w:type="spellStart"/>
      <w:r w:rsidRPr="00D84EA9">
        <w:t>Fold</w:t>
      </w:r>
      <w:proofErr w:type="spellEnd"/>
      <w:r w:rsidRPr="00D84EA9">
        <w:t xml:space="preserve"> </w:t>
      </w:r>
      <w:proofErr w:type="spellStart"/>
      <w:r w:rsidRPr="00D84EA9">
        <w:t>Change</w:t>
      </w:r>
      <w:proofErr w:type="spellEnd"/>
      <w:r w:rsidRPr="00D84EA9">
        <w:t xml:space="preserve"> i -log10(p-wartość). Wykres ten wyraźnie wskazuje geny o dużej różnicy ekspresji i niskiej wartości p, co wspiera wnioski z analizy. Widać tu wyraźnie geny takie jak </w:t>
      </w:r>
      <w:r w:rsidRPr="00D84EA9">
        <w:rPr>
          <w:b/>
          <w:bCs/>
        </w:rPr>
        <w:t>Tnni2</w:t>
      </w:r>
      <w:r w:rsidRPr="00D84EA9">
        <w:t xml:space="preserve">, </w:t>
      </w:r>
      <w:proofErr w:type="spellStart"/>
      <w:r w:rsidRPr="00D84EA9">
        <w:rPr>
          <w:b/>
          <w:bCs/>
        </w:rPr>
        <w:t>Naaa</w:t>
      </w:r>
      <w:proofErr w:type="spellEnd"/>
      <w:r w:rsidRPr="00D84EA9">
        <w:t xml:space="preserve">, </w:t>
      </w:r>
      <w:r w:rsidRPr="00D84EA9">
        <w:rPr>
          <w:b/>
          <w:bCs/>
        </w:rPr>
        <w:t>Wdr43</w:t>
      </w:r>
      <w:r w:rsidRPr="00D84EA9">
        <w:t xml:space="preserve">, </w:t>
      </w:r>
      <w:r w:rsidRPr="00D84EA9">
        <w:rPr>
          <w:b/>
          <w:bCs/>
        </w:rPr>
        <w:t>Itprid1</w:t>
      </w:r>
      <w:r w:rsidRPr="00D84EA9">
        <w:t xml:space="preserve">, a także </w:t>
      </w:r>
      <w:r w:rsidRPr="00D84EA9">
        <w:rPr>
          <w:b/>
          <w:bCs/>
        </w:rPr>
        <w:t>Sfrp2</w:t>
      </w:r>
      <w:r w:rsidRPr="00D84EA9">
        <w:t xml:space="preserve"> – zidentyfikowane jako różnicujące próbki</w:t>
      </w:r>
      <w:r w:rsidRPr="00D84EA9">
        <w:rPr>
          <w:rFonts w:ascii="Arial" w:hAnsi="Arial" w:cs="Arial"/>
        </w:rPr>
        <w:t>​</w:t>
      </w:r>
      <w:r w:rsidRPr="00D84EA9">
        <w:t>(</w:t>
      </w:r>
      <w:proofErr w:type="spellStart"/>
      <w:r w:rsidRPr="00D84EA9">
        <w:t>volplot_basalpregnant</w:t>
      </w:r>
      <w:proofErr w:type="spellEnd"/>
      <w:r w:rsidRPr="00D84EA9">
        <w:t>-b</w:t>
      </w:r>
      <w:r w:rsidRPr="00D84EA9">
        <w:rPr>
          <w:rFonts w:ascii="Aptos" w:hAnsi="Aptos" w:cs="Aptos"/>
        </w:rPr>
        <w:t>…</w:t>
      </w:r>
      <w:r w:rsidRPr="00D84EA9">
        <w:t>).</w:t>
      </w:r>
    </w:p>
    <w:p w14:paraId="09262BE7" w14:textId="04C6CD5D" w:rsidR="00D84EA9" w:rsidRPr="007E516A" w:rsidRDefault="00D84EA9" w:rsidP="00D84EA9"/>
    <w:sectPr w:rsidR="00D84EA9" w:rsidRPr="007E5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91B18"/>
    <w:multiLevelType w:val="hybridMultilevel"/>
    <w:tmpl w:val="8B1C3E0E"/>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1" w15:restartNumberingAfterBreak="0">
    <w:nsid w:val="21D947C6"/>
    <w:multiLevelType w:val="multilevel"/>
    <w:tmpl w:val="986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B0FA4"/>
    <w:multiLevelType w:val="multilevel"/>
    <w:tmpl w:val="94FE7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97A6E"/>
    <w:multiLevelType w:val="multilevel"/>
    <w:tmpl w:val="612A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854651">
    <w:abstractNumId w:val="0"/>
  </w:num>
  <w:num w:numId="2" w16cid:durableId="213465879">
    <w:abstractNumId w:val="2"/>
  </w:num>
  <w:num w:numId="3" w16cid:durableId="654457818">
    <w:abstractNumId w:val="1"/>
  </w:num>
  <w:num w:numId="4" w16cid:durableId="1315334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7A"/>
    <w:rsid w:val="001B6678"/>
    <w:rsid w:val="00664B7A"/>
    <w:rsid w:val="006F52AE"/>
    <w:rsid w:val="00763898"/>
    <w:rsid w:val="007E516A"/>
    <w:rsid w:val="009D5F9F"/>
    <w:rsid w:val="00A11E11"/>
    <w:rsid w:val="00B43077"/>
    <w:rsid w:val="00D84E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4683"/>
  <w15:chartTrackingRefBased/>
  <w15:docId w15:val="{61CDDD81-B50F-4C9B-999F-0E1A9ECD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B7A"/>
    <w:rPr>
      <w:rFonts w:eastAsiaTheme="majorEastAsia" w:cstheme="majorBidi"/>
      <w:color w:val="272727" w:themeColor="text1" w:themeTint="D8"/>
    </w:rPr>
  </w:style>
  <w:style w:type="paragraph" w:styleId="Title">
    <w:name w:val="Title"/>
    <w:basedOn w:val="Normal"/>
    <w:next w:val="Normal"/>
    <w:link w:val="TitleChar"/>
    <w:uiPriority w:val="10"/>
    <w:qFormat/>
    <w:rsid w:val="0066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B7A"/>
    <w:pPr>
      <w:spacing w:before="160"/>
      <w:jc w:val="center"/>
    </w:pPr>
    <w:rPr>
      <w:i/>
      <w:iCs/>
      <w:color w:val="404040" w:themeColor="text1" w:themeTint="BF"/>
    </w:rPr>
  </w:style>
  <w:style w:type="character" w:customStyle="1" w:styleId="QuoteChar">
    <w:name w:val="Quote Char"/>
    <w:basedOn w:val="DefaultParagraphFont"/>
    <w:link w:val="Quote"/>
    <w:uiPriority w:val="29"/>
    <w:rsid w:val="00664B7A"/>
    <w:rPr>
      <w:i/>
      <w:iCs/>
      <w:color w:val="404040" w:themeColor="text1" w:themeTint="BF"/>
    </w:rPr>
  </w:style>
  <w:style w:type="paragraph" w:styleId="ListParagraph">
    <w:name w:val="List Paragraph"/>
    <w:basedOn w:val="Normal"/>
    <w:uiPriority w:val="34"/>
    <w:qFormat/>
    <w:rsid w:val="00664B7A"/>
    <w:pPr>
      <w:ind w:left="720"/>
      <w:contextualSpacing/>
    </w:pPr>
  </w:style>
  <w:style w:type="character" w:styleId="IntenseEmphasis">
    <w:name w:val="Intense Emphasis"/>
    <w:basedOn w:val="DefaultParagraphFont"/>
    <w:uiPriority w:val="21"/>
    <w:qFormat/>
    <w:rsid w:val="00664B7A"/>
    <w:rPr>
      <w:i/>
      <w:iCs/>
      <w:color w:val="0F4761" w:themeColor="accent1" w:themeShade="BF"/>
    </w:rPr>
  </w:style>
  <w:style w:type="paragraph" w:styleId="IntenseQuote">
    <w:name w:val="Intense Quote"/>
    <w:basedOn w:val="Normal"/>
    <w:next w:val="Normal"/>
    <w:link w:val="IntenseQuoteChar"/>
    <w:uiPriority w:val="30"/>
    <w:qFormat/>
    <w:rsid w:val="0066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B7A"/>
    <w:rPr>
      <w:i/>
      <w:iCs/>
      <w:color w:val="0F4761" w:themeColor="accent1" w:themeShade="BF"/>
    </w:rPr>
  </w:style>
  <w:style w:type="character" w:styleId="IntenseReference">
    <w:name w:val="Intense Reference"/>
    <w:basedOn w:val="DefaultParagraphFont"/>
    <w:uiPriority w:val="32"/>
    <w:qFormat/>
    <w:rsid w:val="00664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063356">
      <w:bodyDiv w:val="1"/>
      <w:marLeft w:val="0"/>
      <w:marRight w:val="0"/>
      <w:marTop w:val="0"/>
      <w:marBottom w:val="0"/>
      <w:divBdr>
        <w:top w:val="none" w:sz="0" w:space="0" w:color="auto"/>
        <w:left w:val="none" w:sz="0" w:space="0" w:color="auto"/>
        <w:bottom w:val="none" w:sz="0" w:space="0" w:color="auto"/>
        <w:right w:val="none" w:sz="0" w:space="0" w:color="auto"/>
      </w:divBdr>
    </w:div>
    <w:div w:id="956333301">
      <w:bodyDiv w:val="1"/>
      <w:marLeft w:val="0"/>
      <w:marRight w:val="0"/>
      <w:marTop w:val="0"/>
      <w:marBottom w:val="0"/>
      <w:divBdr>
        <w:top w:val="none" w:sz="0" w:space="0" w:color="auto"/>
        <w:left w:val="none" w:sz="0" w:space="0" w:color="auto"/>
        <w:bottom w:val="none" w:sz="0" w:space="0" w:color="auto"/>
        <w:right w:val="none" w:sz="0" w:space="0" w:color="auto"/>
      </w:divBdr>
    </w:div>
    <w:div w:id="1468014067">
      <w:bodyDiv w:val="1"/>
      <w:marLeft w:val="0"/>
      <w:marRight w:val="0"/>
      <w:marTop w:val="0"/>
      <w:marBottom w:val="0"/>
      <w:divBdr>
        <w:top w:val="none" w:sz="0" w:space="0" w:color="auto"/>
        <w:left w:val="none" w:sz="0" w:space="0" w:color="auto"/>
        <w:bottom w:val="none" w:sz="0" w:space="0" w:color="auto"/>
        <w:right w:val="none" w:sz="0" w:space="0" w:color="auto"/>
      </w:divBdr>
    </w:div>
    <w:div w:id="1744178740">
      <w:bodyDiv w:val="1"/>
      <w:marLeft w:val="0"/>
      <w:marRight w:val="0"/>
      <w:marTop w:val="0"/>
      <w:marBottom w:val="0"/>
      <w:divBdr>
        <w:top w:val="none" w:sz="0" w:space="0" w:color="auto"/>
        <w:left w:val="none" w:sz="0" w:space="0" w:color="auto"/>
        <w:bottom w:val="none" w:sz="0" w:space="0" w:color="auto"/>
        <w:right w:val="none" w:sz="0" w:space="0" w:color="auto"/>
      </w:divBdr>
    </w:div>
    <w:div w:id="1905295027">
      <w:bodyDiv w:val="1"/>
      <w:marLeft w:val="0"/>
      <w:marRight w:val="0"/>
      <w:marTop w:val="0"/>
      <w:marBottom w:val="0"/>
      <w:divBdr>
        <w:top w:val="none" w:sz="0" w:space="0" w:color="auto"/>
        <w:left w:val="none" w:sz="0" w:space="0" w:color="auto"/>
        <w:bottom w:val="none" w:sz="0" w:space="0" w:color="auto"/>
        <w:right w:val="none" w:sz="0" w:space="0" w:color="auto"/>
      </w:divBdr>
    </w:div>
    <w:div w:id="20012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1148</TotalTime>
  <Pages>6</Pages>
  <Words>814</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Wróblewska</dc:creator>
  <cp:keywords/>
  <dc:description/>
  <cp:lastModifiedBy>Kaja Wróblewska</cp:lastModifiedBy>
  <cp:revision>2</cp:revision>
  <dcterms:created xsi:type="dcterms:W3CDTF">2024-11-12T12:17:00Z</dcterms:created>
  <dcterms:modified xsi:type="dcterms:W3CDTF">2024-11-13T09:06:00Z</dcterms:modified>
</cp:coreProperties>
</file>