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Katmanı / Metrik Türü</w:t>
            </w:r>
          </w:p>
        </w:tc>
        <w:tc>
          <w:tcPr>
            <w:tcW w:type="dxa" w:w="1984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Kullanılan Teknoloji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Edilen Bileşen Sayısı</w:t>
            </w:r>
          </w:p>
        </w:tc>
        <w:tc>
          <w:tcPr>
            <w:tcW w:type="dxa" w:w="1417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Başarı Oranı (Pass Rate)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Kod Kapsamı (Coverage)</w:t>
            </w:r>
          </w:p>
        </w:tc>
      </w:tr>
      <w:tr>
        <w:tc>
          <w:tcPr>
            <w:tcW w:type="dxa" w:w="2268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Ön Yüz Birim (Unit) Testleri</w:t>
            </w:r>
          </w:p>
        </w:tc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Vitest &amp; React Testing Lib.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151 Adet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100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82.4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Arka Uç Birim (Unit) Testleri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Pytest &amp; Django TestCase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169 Adet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100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81.0</w:t>
            </w:r>
          </w:p>
        </w:tc>
      </w:tr>
      <w:tr>
        <w:tc>
          <w:tcPr>
            <w:tcW w:type="dxa" w:w="2268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Uçtan Uca (E2E) Sistem Testleri</w:t>
            </w:r>
          </w:p>
        </w:tc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Playwright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83 Adet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100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Değerlendirme Dışı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Arayüz Erişilebilirlik Testi (A11y)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Vitest-axe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Tüm Kritik Arayüzler</w:t>
            </w:r>
          </w:p>
        </w:tc>
        <w:tc>
          <w:tcPr>
            <w:tcW w:type="dxa" w:w="1417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WCAG 2.1 AA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% 100</w:t>
            </w:r>
          </w:p>
        </w:tc>
      </w:tr>
      <w:tr>
        <w:tc>
          <w:tcPr>
            <w:tcW w:type="dxa" w:w="2268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Toplam Otomatize Test Sayısı</w:t>
            </w:r>
          </w:p>
        </w:tc>
        <w:tc>
          <w:tcPr>
            <w:tcW w:type="dxa" w:w="1984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CI/CD Pipeline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403 Adet Test</w:t>
            </w:r>
          </w:p>
        </w:tc>
        <w:tc>
          <w:tcPr>
            <w:tcW w:type="dxa" w:w="1417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% 100 Başarı</w:t>
            </w:r>
          </w:p>
        </w:tc>
        <w:tc>
          <w:tcPr>
            <w:tcW w:type="dxa" w:w="1701"/>
            <w:vAlign w:val="center"/>
            <w:shd w:fill="EAEFF7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Genel Ort: % 81.7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