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422D8">
      <w:pPr>
        <w:keepNext w:val="0"/>
        <w:keepLines w:val="0"/>
        <w:widowControl/>
        <w:suppressLineNumbers w:val="0"/>
        <w:jc w:val="center"/>
        <w:rPr>
          <w:rFonts w:hint="eastAsia" w:ascii="方正小标宋简体" w:hAnsi="方正小标宋简体" w:eastAsia="方正小标宋简体" w:cs="方正小标宋简体"/>
          <w:color w:val="000000"/>
          <w:kern w:val="0"/>
          <w:sz w:val="43"/>
          <w:szCs w:val="43"/>
          <w:lang w:val="en-US" w:eastAsia="zh-CN" w:bidi="ar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kern w:val="0"/>
          <w:sz w:val="43"/>
          <w:szCs w:val="43"/>
          <w:lang w:val="en-US" w:eastAsia="zh-CN" w:bidi="ar"/>
        </w:rPr>
        <w:t>番禺区广交会登革热防控宣教</w:t>
      </w:r>
    </w:p>
    <w:p w14:paraId="2841D714">
      <w:pPr>
        <w:keepNext w:val="0"/>
        <w:keepLines w:val="0"/>
        <w:widowControl/>
        <w:suppressLineNumbers w:val="0"/>
        <w:jc w:val="center"/>
        <w:rPr>
          <w:rFonts w:hint="eastAsia" w:ascii="方正小标宋简体" w:hAnsi="方正小标宋简体" w:eastAsia="方正小标宋简体" w:cs="方正小标宋简体"/>
          <w:color w:val="000000"/>
          <w:kern w:val="0"/>
          <w:sz w:val="43"/>
          <w:szCs w:val="43"/>
          <w:lang w:val="en-US" w:eastAsia="zh-CN" w:bidi="ar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kern w:val="0"/>
          <w:sz w:val="43"/>
          <w:szCs w:val="43"/>
          <w:lang w:val="en-US" w:eastAsia="zh-CN" w:bidi="ar"/>
        </w:rPr>
        <w:t>进酒店专项行动</w:t>
      </w:r>
    </w:p>
    <w:p w14:paraId="06D715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宋体" w:eastAsia="仿宋_GB2312" w:cs="宋体"/>
          <w:kern w:val="0"/>
          <w:sz w:val="32"/>
          <w:szCs w:val="32"/>
          <w:lang w:val="en-US" w:eastAsia="zh-CN"/>
        </w:rPr>
      </w:pPr>
    </w:p>
    <w:p w14:paraId="3300A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宋体" w:eastAsia="仿宋_GB2312" w:cs="宋体"/>
          <w:kern w:val="0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 w:cs="宋体"/>
          <w:kern w:val="0"/>
          <w:sz w:val="32"/>
          <w:szCs w:val="32"/>
          <w:lang w:val="en-US" w:eastAsia="zh-CN"/>
        </w:rPr>
        <w:t>为加强我区广交会期间</w:t>
      </w:r>
      <w:bookmarkStart w:id="0" w:name="_GoBack"/>
      <w:bookmarkEnd w:id="0"/>
      <w:r>
        <w:rPr>
          <w:rFonts w:hint="eastAsia" w:ascii="仿宋_GB2312" w:hAnsi="宋体" w:eastAsia="仿宋_GB2312" w:cs="宋体"/>
          <w:kern w:val="0"/>
          <w:sz w:val="32"/>
          <w:szCs w:val="32"/>
          <w:lang w:val="en-US" w:eastAsia="zh-CN"/>
        </w:rPr>
        <w:t>的登革热预防和控制工作，营造全社会参与登革热防控的氛围，我中心联合区继教中心设计、印制了登革热防控双语宣传提醒卡5000张。于4月9-10日派发了3000余张提醒卡给辖区内可能接待外籍人士的206家酒店，同时现场指导酒店对外籍人士进行登革热防治宣教工作。卡片内容涵盖登革热的常见症状、咨询电话及就医途径等，助力外籍人员了解并做好预防措施，提升我区国际交流活动中的公共卫生安全水平。</w:t>
      </w:r>
    </w:p>
    <w:p w14:paraId="740F0A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宋体" w:eastAsia="仿宋_GB2312" w:cs="宋体"/>
          <w:kern w:val="0"/>
          <w:sz w:val="32"/>
          <w:szCs w:val="32"/>
          <w:lang w:val="en-US" w:eastAsia="zh-CN"/>
        </w:rPr>
      </w:pPr>
    </w:p>
    <w:p w14:paraId="19FB97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宋体" w:eastAsia="仿宋_GB2312" w:cs="宋体"/>
          <w:kern w:val="0"/>
          <w:sz w:val="32"/>
          <w:szCs w:val="32"/>
          <w:lang w:val="en-US" w:eastAsia="zh-CN"/>
        </w:rPr>
      </w:pPr>
    </w:p>
    <w:p w14:paraId="7E27DC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right"/>
        <w:textAlignment w:val="auto"/>
        <w:rPr>
          <w:rFonts w:hint="eastAsia" w:ascii="仿宋_GB2312" w:hAnsi="宋体" w:eastAsia="仿宋_GB2312" w:cs="宋体"/>
          <w:kern w:val="0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 w:cs="宋体"/>
          <w:kern w:val="0"/>
          <w:sz w:val="32"/>
          <w:szCs w:val="32"/>
          <w:lang w:val="en-US" w:eastAsia="zh-CN"/>
        </w:rPr>
        <w:t xml:space="preserve">  广州市番禺区疾病预防控制中心</w:t>
      </w:r>
    </w:p>
    <w:p w14:paraId="3DDF24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宋体" w:eastAsia="仿宋_GB2312" w:cs="宋体"/>
          <w:kern w:val="0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 w:cs="宋体"/>
          <w:kern w:val="0"/>
          <w:sz w:val="32"/>
          <w:szCs w:val="32"/>
          <w:lang w:val="en-US" w:eastAsia="zh-CN"/>
        </w:rPr>
        <w:t xml:space="preserve">                           2025年4月11日</w:t>
      </w:r>
    </w:p>
    <w:p w14:paraId="25FA0812">
      <w:pP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</w:p>
    <w:p w14:paraId="60D8DA5F">
      <w:pP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</w:p>
    <w:p w14:paraId="7250175D">
      <w:pP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</w:p>
    <w:p w14:paraId="3E067933">
      <w:pP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</w:p>
    <w:p w14:paraId="34E33FBD">
      <w:pP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</w:p>
    <w:p w14:paraId="357E2D84">
      <w:pP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</w:p>
    <w:p w14:paraId="3334DF97">
      <w:pP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</w:p>
    <w:p w14:paraId="2E049432">
      <w:pP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</w:pPr>
    </w:p>
    <w:p w14:paraId="79B40757">
      <w:pPr>
        <w:spacing w:line="560" w:lineRule="exac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图</w:t>
      </w:r>
    </w:p>
    <w:p w14:paraId="65EDEB63">
      <w:pPr>
        <w:spacing w:line="560" w:lineRule="exact"/>
        <w:rPr>
          <w:rFonts w:hint="eastAsia" w:ascii="黑体" w:hAnsi="黑体" w:eastAsia="黑体" w:cs="黑体"/>
          <w:sz w:val="32"/>
          <w:szCs w:val="32"/>
        </w:rPr>
      </w:pPr>
    </w:p>
    <w:p w14:paraId="39E72D49">
      <w:pPr>
        <w:rPr>
          <w:rFonts w:hint="default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仿宋_GB2312" w:hAnsi="Times New Roman" w:eastAsia="仿宋_GB2312" w:cs="Times New Roman"/>
          <w:sz w:val="32"/>
          <w:szCs w:val="32"/>
          <w:lang w:val="en-US" w:eastAsia="zh-CN"/>
        </w:rPr>
        <w:drawing>
          <wp:inline distT="0" distB="0" distL="114300" distR="114300">
            <wp:extent cx="4480560" cy="2745740"/>
            <wp:effectExtent l="0" t="0" r="15240" b="16510"/>
            <wp:docPr id="1" name="图片 1" descr="e9483f54378fb3e35a259f458c64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9483f54378fb3e35a259f458c64c91"/>
                    <pic:cNvPicPr>
                      <a:picLocks noChangeAspect="1"/>
                    </pic:cNvPicPr>
                  </pic:nvPicPr>
                  <pic:blipFill>
                    <a:blip r:embed="rId4"/>
                    <a:srcRect r="8958" b="83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4EBC">
      <w:pPr>
        <w:rPr>
          <w:rFonts w:hint="default" w:ascii="仿宋_GB2312" w:hAnsi="Times New Roman" w:eastAsia="仿宋_GB2312" w:cs="Times New Roman"/>
          <w:sz w:val="32"/>
          <w:szCs w:val="32"/>
          <w:lang w:val="en-US" w:eastAsia="zh-CN"/>
        </w:rPr>
      </w:pPr>
    </w:p>
    <w:p w14:paraId="7C1D3384">
      <w:pPr>
        <w:rPr>
          <w:rFonts w:hint="default" w:ascii="仿宋_GB2312" w:hAnsi="Times New Roman" w:eastAsia="仿宋_GB2312" w:cs="Times New Roman"/>
          <w:sz w:val="32"/>
          <w:szCs w:val="32"/>
          <w:lang w:val="en-US" w:eastAsia="zh-CN"/>
        </w:rPr>
      </w:pPr>
    </w:p>
    <w:p w14:paraId="07D83CEA">
      <w:pPr>
        <w:rPr>
          <w:rFonts w:hint="default" w:ascii="仿宋_GB2312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仿宋_GB2312" w:hAnsi="Times New Roman" w:eastAsia="仿宋_GB2312" w:cs="Times New Roman"/>
          <w:sz w:val="32"/>
          <w:szCs w:val="32"/>
          <w:lang w:val="en-US" w:eastAsia="zh-CN"/>
        </w:rPr>
        <w:drawing>
          <wp:inline distT="0" distB="0" distL="114300" distR="114300">
            <wp:extent cx="4504055" cy="3627755"/>
            <wp:effectExtent l="0" t="0" r="0" b="0"/>
            <wp:docPr id="2" name="图片 2" descr="36da0282c4c173d92247e65ef688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da0282c4c173d92247e65ef688159"/>
                    <pic:cNvPicPr>
                      <a:picLocks noChangeAspect="1"/>
                    </pic:cNvPicPr>
                  </pic:nvPicPr>
                  <pic:blipFill>
                    <a:blip r:embed="rId5"/>
                    <a:srcRect l="14449" t="8092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3726A"/>
    <w:rsid w:val="078669F9"/>
    <w:rsid w:val="0CF3726A"/>
    <w:rsid w:val="285223EF"/>
    <w:rsid w:val="46DA3DF3"/>
    <w:rsid w:val="4A3B0ADD"/>
    <w:rsid w:val="511B51C5"/>
    <w:rsid w:val="524E3378"/>
    <w:rsid w:val="55AA4D69"/>
    <w:rsid w:val="5641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222</Characters>
  <Lines>0</Lines>
  <Paragraphs>0</Paragraphs>
  <TotalTime>0</TotalTime>
  <ScaleCrop>false</ScaleCrop>
  <LinksUpToDate>false</LinksUpToDate>
  <CharactersWithSpaces>223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2025-04-11T03:56:00Z</dcterms:created>
  <dc:creator>卡卡</dc:creator>
  <cp:lastModifiedBy>卡卡</cp:lastModifiedBy>
  <dcterms:modified xsi:type="dcterms:W3CDTF">2025-04-11T04:29:02Z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6E157F4EF3F341889B3E435054CA2A5F_11</vt:lpwstr>
  </property>
  <property fmtid="{D5CDD505-2E9C-101B-9397-08002B2CF9AE}" pid="4" name="KSOTemplateDocerSaveRecord">
    <vt:lpwstr>eyJoZGlkIjoiNzU5MjExZDg0OGQzOThhZDBkZDYyNDQxYzUyZGRhYTEiLCJ1c2VySWQiOiI1NTA5MTUxMDQifQ==</vt:lpwstr>
  </property>
</Properties>
</file>