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always the same grasp spot, backing off before lifting) raised three-stage success from 28% to 99.0% over 200 sequences, whereas ten times more demonstrations or noise injection did not, and a pre-training audit that measures the empty band in the wrist angle at the grasp flagged the failing demonstration sets before any training. Re-running a stage while the scale still reads the bin gave 200/200. The rules carried over to a cup with a handle (20% to 46%, 88% with 300 rule demonstrations) and a rectangular box (56% to 100%), and the same diagnosis extended stacking to a 2×2×2 pallet (95% for all eight bins in a row). In a randomized factory cell the bin policy fell to 44% until factory scenes were added to its demonstrations (90%).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200/200을 얻었고, 공장형 환경에서도 그 장면을 시연에 담으면 성공률이 회복됨을 보였다(통 44→90%).</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591752" cy="2496474"/>
            <wp:docPr id="101" name="Figure 1"/>
            <a:graphic>
              <a:graphicData uri="http://schemas.openxmlformats.org/drawingml/2006/picture">
                <pic:pic>
                  <pic:nvPicPr>
                    <pic:cNvPr id="101" name="fig1.png"/>
                    <pic:cNvPicPr/>
                  </pic:nvPicPr>
                  <pic:blipFill>
                    <a:blip r:embed="rIdFig1"/>
                    <a:stretch>
                      <a:fillRect/>
                    </a:stretch>
                  </pic:blipFill>
                  <pic:spPr>
                    <a:xfrm>
                      <a:off x="0" y="0"/>
                      <a:ext cx="2591752" cy="2496474"/>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1. 시스템 구성: 컨베이어가 고른 파랑 큐브가 저울 위 통에 모이고, Jetson이 표시부 무게를 읽어 118g 이상이면 SO-101이 통을 팔레트에 순차 적재한다</w:t>
      </w:r>
    </w:p>
    <w:p>
      <w:pPr>
        <w:pStyle w:val="a3"/>
        <w:keepNext/>
        <w:wordWrap/>
        <w:spacing w:before="80" w:after="40" w:line="288" w:lineRule="auto"/>
        <w:jc w:val="center"/>
      </w:pPr>
      <w:r>
        <w:rPr>
          <w:rFonts w:ascii="HY신명조" w:eastAsia="HY신명조" w:hAnsi="HY신명조" w:hint="eastAsia"/>
          <w:sz w:val="18"/>
          <w:szCs w:val="18"/>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2. 시뮬레이션 셀 (a) 전체 (b)(c) 정책이 보는 손목·상단 카메라 영상 (d)(e) 다른 모양의 물체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(1) 여유 두고 잡기: 고정 집게를 벽 바깥 9mm에 두고 내려가, 집게가 벽을 사이에 둘 수 있는 범위(바깥 0~17mm)의 가운데로 접근한다. 초기 설계(1.5mm)는 안쪽으로 3mm만 어긋나도 집게가 벽 위에 걸렸다. (2) 늘 같은 곳 잡기: 물체가 돌아가 있어도 늘 같은 부위를 잡는다. 로봇과 가장 가까운 벽을 잡으면 통이 약 8° 넘게 돌았을 때 잡는 벽이 바뀌어, 카메라에는 거의 같은 장면인데 시연 동작이 두 갈래가 된다. (3) 놓고 물러나기: 2층에 놓은 뒤 그리퍼를 벌리고 벽 바깥으로 5mm 물러났다가 올라간다. 곧장 올라가면 2mm 벽 위의 통을 끌어 올려 기울게 하였다. 세 규칙은 모두 시연만 바꾸며 학습 설정은 그대로 둔다. 이하 세 규칙을 모두 적용한 시연을 '규칙 시연', 사람처럼 그때그때 가까운 곳을 잡는 시연을 '사람식 시연'이라 한다.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'늘 같은 곳 잡기'를 어긴 시연은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늘 같은 곳을 잡도록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54318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2543183"/>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상단 카메라 앞을 지나는 천장 케이블, 부품 8~16개, 닮은 빈 통, 지나가는 물체, 깜빡이는 조명을 매번 다르게 둔 장면에서 시연을 만들었다(그림 2(f)). 물건은 전문가 시연 120회에서 팔과 통이 지나간 높이를 기록한 지도로 팔과 부딪히지 않는 곳에만 두었고,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끝으로 4.5절에서 2×2×2 팔레트 적재로 확장한다.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88" w:lineRule="auto"/>
        <w:jc w:val="center"/>
      </w:pPr>
      <w:r>
        <w:rPr>
          <w:rFonts w:ascii="HY신명조" w:eastAsia="HY신명조" w:hAnsi="HY신명조" w:hint="eastAsia"/>
          <w:sz w:val="18"/>
          <w:szCs w:val="18"/>
        </w:rPr>
        <w:t xml:space="preserve">표 2. 시연 설계별 적재 성공률 (%, 각 50회). 위에서부터 규칙을 하나씩 더하였고, 세 규칙을 모두 적용한 시연이 규칙 시연이다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초기 설계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 여유 두고 잡기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 여유 두고 잡기 (200)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 늘 같은 곳 잡기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 놓고 물러나기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규칙 시연 (1000)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여유 두고 잡기는 집게가 벽 위에 걸리는 실패를 없앴고, 이것만 적용한 시연에서 남은 실패 25건 중 24건은 전문가가 잡는 벽을 바꾸는 회전 구간에서 일어났으며 늘 같은 곳 잡기가 이를 없앴다. 규칙 시연은 장면 200개에서 99.0%(95% CI 96.4–99.7%)였고(그림 4), 단계별 평균 위치 오차는 3.6, 4.4, 5.9mm였다. 반면 시연 수를 늘리는 것은 답이 아니었다. 잡는 곳이 갈리는 시연(여유 두고 잡기만 적용)을 200회로 늘리면 오히려 36%로 낮아졌고, 규칙 시연을 1000회로 늘리거나 DART[6] 잡음을 넣어도 94%, 96%로 나아지지 않았다. 남은 실패는 통을 집지 못해 저울에 남은 경우였고, 무게 확인 재시도로 첫 시도 198/200에서 200/200이 되었다. 즉 연속 성공률은 시연 수보다 시연 설계로 결정되었다.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303780" cy="1151890"/>
            <wp:docPr id="104" name="Figure 4"/>
            <a:graphic>
              <a:graphicData uri="http://schemas.openxmlformats.org/drawingml/2006/picture">
                <pic:pic>
                  <pic:nvPicPr>
                    <pic:cNvPr id="104" name="fig4.png"/>
                    <pic:cNvPicPr/>
                  </pic:nvPicPr>
                  <pic:blipFill>
                    <a:blip r:embed="rIdFig4"/>
                    <a:stretch>
                      <a:fillRect/>
                    </a:stretch>
                  </pic:blipFill>
                  <pic:spPr>
                    <a:xfrm>
                      <a:off x="0" y="0"/>
                      <a:ext cx="2303780" cy="1151890"/>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4. 규칙 시연 100회로 학습한 단계별 정책이 평가 장면에서 1층·옆·2층을 이어서 적재하는 모습 (시뮬레이션)</w:t>
      </w:r>
    </w:p>
    <w:p>
      <w:pPr>
        <w:pStyle w:val="a3"/>
        <w:keepNext/>
        <w:wordWrap/>
        <w:spacing w:before="60" w:after="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88" w:lineRule="auto"/>
        <w:jc w:val="center"/>
      </w:pPr>
      <w:r>
        <w:rPr>
          <w:rFonts w:ascii="HY신명조" w:eastAsia="HY신명조" w:hAnsi="HY신명조" w:hint="eastAsia"/>
          <w:sz w:val="18"/>
          <w:szCs w:val="18"/>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빈 구간(°) 사람식→규칙</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연속(%) 사람식→규칙</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손잡이 컵 규칙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규칙 시연은 늘 손잡이 오른쪽 면, 늘 같은 짧은 벽을 잡으며 나머지 두 규칙은 통과 같다. 표 3과 같이 사람식 시연은 세 물체 모두 손목 각도에 큰 빈 구간을 보였고, 규칙 시연은 빈 구간이 거의 없었으며 연속 성공률은 통 62→96%, 컵 20→46%, 상자 56→100%였다. 학습 전에 계산한 빈 구간이 학습 뒤 성공률의 차이를 미리 보여 준 것이다. 컵 규칙 시연의 실패는 대부분 놓는 위치 오차였으며, 규칙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Q4: 공장형 환경은 그 환경을 담은 시연으로 대응한다</w:t>
      </w:r>
    </w:p>
    <w:p>
      <w:pPr>
        <w:pStyle w:val="a3"/>
        <w:keepNext/>
        <w:wordWrap/>
        <w:spacing w:before="80" w:after="40" w:line="288" w:lineRule="auto"/>
        <w:jc w:val="center"/>
      </w:pPr>
      <w:r>
        <w:rPr>
          <w:rFonts w:ascii="HY신명조" w:eastAsia="HY신명조" w:hAnsi="HY신명조" w:hint="eastAsia"/>
          <w:sz w:val="18"/>
          <w:szCs w:val="18"/>
        </w:rPr>
        <w:t xml:space="preserve">표 4. 환경별 연속 성공률 (%, 통, 각 50회). 규칙: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규칙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92</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62</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66</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4와 같이 잡동사니 전부에서 무작위화 없는 규칙 시연은 0%, 무작위화만 한 정책은 58%였다. 잡동사니를 넣은 시연(1000회)은 88%로 회복했지만 공장형 구조물 앞에서는 44%였고, 공장형 장면의 시연을 단계당 800회(그중 300회는 넓은 외관 무작위화) 더하자(+공장) 90%가 되었다. 외관까지 바꾸면 실패가 무늬 있는 작업대에 몰렸고(무늬 없음 69%, 무늬 46%), 그 장면의 시연 300회를 더하자 무늬 작업대에서 67%, 공장형 최대는 46→66%가 되었으나 공장형+외관 전체는 58→62%로 차이가 작았다. 세 물체·두 배치·공장형 장면을 섞은 시연 1800회로 단계별 정책 하나를 120k 스텝 학습한 통합 정책은 공장형 환경에서 6가지 조합 평균 59%(최저 12%)였다. 환경의 변화 역시 시연에 담아야 정책이 따라갔다.</w:t>
      </w:r>
    </w:p>
    <w:p>
      <w:pPr>
        <w:pStyle w:val="a3"/>
        <w:keepNext/>
        <w:wordWrap/>
        <w:spacing w:before="60" w:after="0" w:line="288" w:lineRule="auto"/>
        <w:jc w:val="left"/>
      </w:pPr>
      <w:r>
        <w:rPr>
          <w:rFonts w:ascii="HY신명조" w:eastAsia="HY신명조" w:hAnsi="HY신명조" w:hint="eastAsia"/>
          <w:sz w:val="20"/>
          <w:szCs w:val="20"/>
        </w:rPr>
        <w:t xml:space="preserve">4.5 확장: 2×2×2 팔레트 적재</w:t>
      </w:r>
    </w:p>
    <w:p>
      <w:pPr>
        <w:pStyle w:val="a3"/>
        <w:wordWrap/>
        <w:spacing w:before="0" w:after="0" w:line="288" w:lineRule="auto"/>
        <w:ind w:firstLine="180"/>
        <w:jc w:val="both"/>
      </w:pPr>
      <w:r>
        <w:rPr>
          <w:rFonts w:ascii="HY신명조" w:eastAsia="HY신명조" w:hAnsi="HY신명조" w:hint="eastAsia"/>
          <w:sz w:val="18"/>
          <w:szCs w:val="18"/>
        </w:rPr>
        <w:t xml:space="preserve">같은 셀에서 통 8개를 2×2×2로 쌓는 팔레트 적재로 확장하였다(그림 5). 칸마다 정책을 하나씩(8개) 같은 방식으로 학습하고 관절값 입력에 잡음을 더했으며, 25스텝마다 다시 예측하면서 8칸을 이어서 실행하였다(40회). 이렇게 학습한 첫 정책은 8칸 연속 55%였다. 칸별로 전문가 시연의 정확도를 확인하자 가장 먼 2층 칸의 시연만 평균 6.2mm 치우쳐 있었다(다른 칸 1.8mm, 팔이 닿는 한계에서 역기구학이 손목 각도를 우선한 탓). 위치를 우선하도록 시연을 고치자 그 칸의 성공이 9/20에서 19/20으로 올랐고(8칸 연속 65%), 성공률이 낮은 칸의 시연을 100~200회 더하자 8칸 연속 95%가 되었다. </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303780" cy="855363"/>
            <wp:docPr id="105" name="Figure 5"/>
            <a:graphic>
              <a:graphicData uri="http://schemas.openxmlformats.org/drawingml/2006/picture">
                <pic:pic>
                  <pic:nvPicPr>
                    <pic:cNvPr id="105" name="fig5.png"/>
                    <pic:cNvPicPr/>
                  </pic:nvPicPr>
                  <pic:blipFill>
                    <a:blip r:embed="rIdFig5"/>
                    <a:stretch>
                      <a:fillRect/>
                    </a:stretch>
                  </pic:blipFill>
                  <pic:spPr>
                    <a:xfrm>
                      <a:off x="0" y="0"/>
                      <a:ext cx="2303780" cy="855363"/>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5. 칸별 정책 8개가 2×2×2 팔레트를 연속으로 쌓는 모습 (시뮬레이션, 평가 장면)</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200/200으로 높였으며, 같은 효과를 시연 수로는 얻지 못하였다. 학습 전 점검 지표는 세 물체에서 시연의 갈림을 학습 전에 드러냈고, 잡동사니와 공장형 환경은 그 장면을 담은 시연으로 대응할 수 있었으며, 2×2×2 팔레트 적재로도 확장되었다(8칸 연속 95%). 한편 세 물체를 단계별 정책 하나로 다루면 공장형 환경에서 평균 59%(최저 12%, 컵)에 그쳐, 물체 사이의 간섭을 줄이는 것이 남은 과제이다.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